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8241" w14:textId="435D5236" w:rsidR="00811EE5" w:rsidRDefault="002F2600" w:rsidP="00E67F1D">
      <w:pPr>
        <w:tabs>
          <w:tab w:val="right" w:pos="9480"/>
        </w:tabs>
        <w:jc w:val="center"/>
        <w:rPr>
          <w:rFonts w:ascii="Arial" w:eastAsia="Times New Roman" w:hAnsi="Arial"/>
          <w:b/>
          <w:sz w:val="24"/>
          <w:szCs w:val="24"/>
          <w:lang w:eastAsia="en-AU"/>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6E27CC2A" w14:textId="77777777" w:rsidR="00520844" w:rsidRPr="00811EE5" w:rsidRDefault="00520844" w:rsidP="00E67F1D">
      <w:pPr>
        <w:tabs>
          <w:tab w:val="right" w:pos="9480"/>
        </w:tabs>
        <w:jc w:val="center"/>
        <w:rPr>
          <w:rFonts w:ascii="Arial" w:eastAsia="Times New Roman" w:hAnsi="Arial"/>
          <w:b/>
          <w:sz w:val="24"/>
          <w:szCs w:val="24"/>
          <w:lang w:eastAsia="en-AU"/>
        </w:rPr>
      </w:pPr>
    </w:p>
    <w:p w14:paraId="04BF84AF" w14:textId="77777777" w:rsidR="00EA1BB1" w:rsidRDefault="00EA1BB1" w:rsidP="00EA1BB1">
      <w:pPr>
        <w:tabs>
          <w:tab w:val="center" w:pos="4253"/>
        </w:tabs>
        <w:rPr>
          <w:rFonts w:ascii="Arial" w:hAnsi="Arial" w:cs="Arial"/>
          <w:b/>
          <w:szCs w:val="22"/>
        </w:rPr>
      </w:pPr>
      <w:r>
        <w:rPr>
          <w:rFonts w:ascii="Arial" w:hAnsi="Arial" w:cs="Arial"/>
          <w:b/>
          <w:szCs w:val="22"/>
        </w:rPr>
        <w:tab/>
      </w:r>
    </w:p>
    <w:p w14:paraId="0F0C33C6" w14:textId="77777777" w:rsidR="005718C7" w:rsidRDefault="005718C7" w:rsidP="005718C7">
      <w:pPr>
        <w:tabs>
          <w:tab w:val="center" w:pos="4253"/>
        </w:tabs>
        <w:rPr>
          <w:rFonts w:ascii="Arial" w:hAnsi="Arial" w:cs="Arial"/>
          <w:b/>
          <w:szCs w:val="22"/>
        </w:rPr>
      </w:pPr>
      <w:r>
        <w:rPr>
          <w:rFonts w:ascii="Arial" w:hAnsi="Arial" w:cs="Arial"/>
          <w:b/>
          <w:szCs w:val="22"/>
        </w:rPr>
        <w:tab/>
      </w:r>
    </w:p>
    <w:p w14:paraId="622AD924" w14:textId="77777777" w:rsidR="005718C7" w:rsidRPr="008F74B7" w:rsidRDefault="005718C7" w:rsidP="005718C7">
      <w:pPr>
        <w:pStyle w:val="HEADING"/>
        <w:numPr>
          <w:ilvl w:val="0"/>
          <w:numId w:val="3"/>
        </w:numPr>
      </w:pPr>
      <w:bookmarkStart w:id="1" w:name="_Toc496435567"/>
      <w:bookmarkStart w:id="2" w:name="_GoBack"/>
      <w:bookmarkEnd w:id="2"/>
      <w:r w:rsidRPr="008F74B7">
        <w:t>POSITION DETAILS</w:t>
      </w:r>
      <w:bookmarkEnd w:id="1"/>
    </w:p>
    <w:tbl>
      <w:tblPr>
        <w:tblStyle w:val="TableGrid2"/>
        <w:tblW w:w="0" w:type="auto"/>
        <w:tblInd w:w="959" w:type="dxa"/>
        <w:tblLook w:val="04A0" w:firstRow="1" w:lastRow="0" w:firstColumn="1" w:lastColumn="0" w:noHBand="0" w:noVBand="1"/>
      </w:tblPr>
      <w:tblGrid>
        <w:gridCol w:w="2126"/>
        <w:gridCol w:w="5103"/>
      </w:tblGrid>
      <w:tr w:rsidR="005718C7" w:rsidRPr="008F74B7" w14:paraId="44F987BE" w14:textId="77777777" w:rsidTr="00E45B1E">
        <w:trPr>
          <w:trHeight w:val="454"/>
        </w:trPr>
        <w:tc>
          <w:tcPr>
            <w:tcW w:w="2126" w:type="dxa"/>
            <w:vAlign w:val="center"/>
          </w:tcPr>
          <w:p w14:paraId="20D92C59"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Position title:</w:t>
            </w:r>
          </w:p>
        </w:tc>
        <w:tc>
          <w:tcPr>
            <w:tcW w:w="5103" w:type="dxa"/>
            <w:vAlign w:val="center"/>
          </w:tcPr>
          <w:p w14:paraId="468705E2"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 xml:space="preserve">APAC Quality Manager </w:t>
            </w:r>
          </w:p>
        </w:tc>
      </w:tr>
      <w:tr w:rsidR="005718C7" w:rsidRPr="008F74B7" w14:paraId="17E72D11" w14:textId="77777777" w:rsidTr="00E45B1E">
        <w:trPr>
          <w:trHeight w:val="454"/>
        </w:trPr>
        <w:tc>
          <w:tcPr>
            <w:tcW w:w="2126" w:type="dxa"/>
            <w:vAlign w:val="center"/>
          </w:tcPr>
          <w:p w14:paraId="33D9594B"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Reports to:</w:t>
            </w:r>
          </w:p>
        </w:tc>
        <w:tc>
          <w:tcPr>
            <w:tcW w:w="5103" w:type="dxa"/>
            <w:vAlign w:val="center"/>
          </w:tcPr>
          <w:p w14:paraId="344360D9"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 xml:space="preserve">APAC </w:t>
            </w:r>
            <w:r>
              <w:rPr>
                <w:rFonts w:ascii="Arial" w:hAnsi="Arial" w:cs="Arial"/>
                <w:b/>
                <w:lang w:val="en-US"/>
              </w:rPr>
              <w:t>Chair</w:t>
            </w:r>
            <w:r w:rsidRPr="008F74B7">
              <w:rPr>
                <w:rFonts w:ascii="Arial" w:hAnsi="Arial" w:cs="Arial"/>
                <w:b/>
                <w:lang w:val="en-US"/>
              </w:rPr>
              <w:t xml:space="preserve"> </w:t>
            </w:r>
          </w:p>
        </w:tc>
      </w:tr>
      <w:tr w:rsidR="005718C7" w:rsidRPr="008F74B7" w14:paraId="275E3550" w14:textId="77777777" w:rsidTr="00E45B1E">
        <w:trPr>
          <w:trHeight w:val="454"/>
        </w:trPr>
        <w:tc>
          <w:tcPr>
            <w:tcW w:w="2126" w:type="dxa"/>
            <w:vAlign w:val="center"/>
          </w:tcPr>
          <w:p w14:paraId="1AB89C8D"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Position term:</w:t>
            </w:r>
          </w:p>
        </w:tc>
        <w:tc>
          <w:tcPr>
            <w:tcW w:w="5103" w:type="dxa"/>
            <w:vAlign w:val="center"/>
          </w:tcPr>
          <w:p w14:paraId="375A899E"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Three years</w:t>
            </w:r>
          </w:p>
        </w:tc>
      </w:tr>
    </w:tbl>
    <w:p w14:paraId="642FF967" w14:textId="77777777" w:rsidR="005718C7" w:rsidRPr="008F74B7" w:rsidRDefault="005718C7" w:rsidP="005718C7">
      <w:pPr>
        <w:spacing w:after="220"/>
        <w:jc w:val="left"/>
        <w:rPr>
          <w:rFonts w:ascii="Arial" w:eastAsia="PMingLiU" w:hAnsi="Arial" w:cs="Arial"/>
          <w:b/>
          <w:szCs w:val="22"/>
          <w:lang w:val="en-US"/>
        </w:rPr>
      </w:pPr>
    </w:p>
    <w:p w14:paraId="1F7FDF3A" w14:textId="77777777" w:rsidR="005718C7" w:rsidRPr="008F74B7" w:rsidRDefault="005718C7" w:rsidP="005718C7">
      <w:pPr>
        <w:pStyle w:val="HEADING"/>
        <w:numPr>
          <w:ilvl w:val="0"/>
          <w:numId w:val="3"/>
        </w:numPr>
        <w:rPr>
          <w:lang w:val="en-US"/>
        </w:rPr>
      </w:pPr>
      <w:bookmarkStart w:id="3" w:name="_Toc496435568"/>
      <w:r w:rsidRPr="008F74B7">
        <w:rPr>
          <w:lang w:val="en-US"/>
        </w:rPr>
        <w:t>INTRODUCTION</w:t>
      </w:r>
      <w:bookmarkEnd w:id="3"/>
    </w:p>
    <w:p w14:paraId="07A382C0" w14:textId="20D13EA4" w:rsidR="005718C7" w:rsidRPr="008F74B7" w:rsidRDefault="005718C7" w:rsidP="005718C7">
      <w:pPr>
        <w:pStyle w:val="Header"/>
        <w:tabs>
          <w:tab w:val="left" w:pos="2880"/>
        </w:tabs>
        <w:spacing w:after="220"/>
        <w:ind w:left="851"/>
        <w:rPr>
          <w:rFonts w:ascii="Arial" w:hAnsi="Arial" w:cs="Arial"/>
          <w:szCs w:val="22"/>
        </w:rPr>
      </w:pPr>
      <w:r>
        <w:rPr>
          <w:rFonts w:ascii="Arial" w:hAnsi="Arial" w:cs="Arial"/>
          <w:szCs w:val="22"/>
        </w:rPr>
        <w:t>The AP</w:t>
      </w:r>
      <w:r w:rsidRPr="008F74B7">
        <w:rPr>
          <w:rFonts w:ascii="Arial" w:hAnsi="Arial" w:cs="Arial"/>
          <w:szCs w:val="22"/>
        </w:rPr>
        <w:t xml:space="preserve">AC Quality Manager is </w:t>
      </w:r>
      <w:r>
        <w:rPr>
          <w:rFonts w:ascii="Arial" w:hAnsi="Arial" w:cs="Arial"/>
          <w:szCs w:val="22"/>
        </w:rPr>
        <w:t>appointed by the Executive Committee.  The initial</w:t>
      </w:r>
      <w:r w:rsidRPr="008F74B7">
        <w:rPr>
          <w:rFonts w:ascii="Arial" w:hAnsi="Arial" w:cs="Arial"/>
          <w:szCs w:val="22"/>
        </w:rPr>
        <w:t xml:space="preserve"> term of </w:t>
      </w:r>
      <w:r>
        <w:rPr>
          <w:rFonts w:ascii="Arial" w:hAnsi="Arial" w:cs="Arial"/>
          <w:szCs w:val="22"/>
        </w:rPr>
        <w:t xml:space="preserve">appointment is </w:t>
      </w:r>
      <w:r w:rsidRPr="008F74B7">
        <w:rPr>
          <w:rFonts w:ascii="Arial" w:hAnsi="Arial" w:cs="Arial"/>
          <w:szCs w:val="22"/>
        </w:rPr>
        <w:t>three years.</w:t>
      </w:r>
      <w:r>
        <w:rPr>
          <w:rFonts w:ascii="Arial" w:hAnsi="Arial" w:cs="Arial"/>
          <w:szCs w:val="22"/>
        </w:rPr>
        <w:t>, which may</w:t>
      </w:r>
      <w:r w:rsidRPr="008F74B7">
        <w:rPr>
          <w:rFonts w:ascii="Arial" w:hAnsi="Arial" w:cs="Arial"/>
          <w:color w:val="000000"/>
          <w:szCs w:val="22"/>
        </w:rPr>
        <w:t xml:space="preserve"> be renewed for a further period </w:t>
      </w:r>
      <w:r w:rsidR="008A5E4A">
        <w:rPr>
          <w:rFonts w:ascii="Arial" w:hAnsi="Arial" w:cs="Arial"/>
          <w:color w:val="000000"/>
          <w:szCs w:val="22"/>
        </w:rPr>
        <w:t>at</w:t>
      </w:r>
      <w:r w:rsidRPr="008F74B7">
        <w:rPr>
          <w:rFonts w:ascii="Arial" w:hAnsi="Arial" w:cs="Arial"/>
          <w:color w:val="000000"/>
          <w:szCs w:val="22"/>
        </w:rPr>
        <w:t xml:space="preserve"> the discretion of the </w:t>
      </w:r>
      <w:r>
        <w:rPr>
          <w:rFonts w:ascii="Arial" w:hAnsi="Arial" w:cs="Arial"/>
          <w:szCs w:val="22"/>
        </w:rPr>
        <w:t>AP</w:t>
      </w:r>
      <w:r w:rsidRPr="008F74B7">
        <w:rPr>
          <w:rFonts w:ascii="Arial" w:hAnsi="Arial" w:cs="Arial"/>
          <w:szCs w:val="22"/>
        </w:rPr>
        <w:t xml:space="preserve">AC </w:t>
      </w:r>
      <w:r>
        <w:rPr>
          <w:rFonts w:ascii="Arial" w:hAnsi="Arial" w:cs="Arial"/>
          <w:szCs w:val="22"/>
        </w:rPr>
        <w:t>Executive Committee</w:t>
      </w:r>
      <w:r w:rsidRPr="008F74B7">
        <w:rPr>
          <w:rFonts w:ascii="Arial" w:hAnsi="Arial" w:cs="Arial"/>
          <w:szCs w:val="22"/>
        </w:rPr>
        <w:t>.</w:t>
      </w:r>
    </w:p>
    <w:p w14:paraId="26DBA896" w14:textId="165CDD3E" w:rsidR="005718C7" w:rsidRPr="008F74B7" w:rsidRDefault="005718C7" w:rsidP="005718C7">
      <w:pPr>
        <w:pStyle w:val="Header"/>
        <w:tabs>
          <w:tab w:val="left" w:pos="2880"/>
        </w:tabs>
        <w:spacing w:after="220"/>
        <w:ind w:left="851"/>
        <w:rPr>
          <w:rFonts w:ascii="Arial" w:hAnsi="Arial" w:cs="Arial"/>
          <w:szCs w:val="22"/>
        </w:rPr>
      </w:pPr>
      <w:r>
        <w:rPr>
          <w:rFonts w:ascii="Arial" w:hAnsi="Arial" w:cs="Arial"/>
          <w:szCs w:val="22"/>
        </w:rPr>
        <w:t>The AP</w:t>
      </w:r>
      <w:r w:rsidRPr="008F74B7">
        <w:rPr>
          <w:rFonts w:ascii="Arial" w:hAnsi="Arial" w:cs="Arial"/>
          <w:szCs w:val="22"/>
        </w:rPr>
        <w:t>AC Qu</w:t>
      </w:r>
      <w:r>
        <w:rPr>
          <w:rFonts w:ascii="Arial" w:hAnsi="Arial" w:cs="Arial"/>
          <w:szCs w:val="22"/>
        </w:rPr>
        <w:t>ality Manager reports to the AP</w:t>
      </w:r>
      <w:r w:rsidRPr="008F74B7">
        <w:rPr>
          <w:rFonts w:ascii="Arial" w:hAnsi="Arial" w:cs="Arial"/>
          <w:szCs w:val="22"/>
        </w:rPr>
        <w:t xml:space="preserve">AC Chair and </w:t>
      </w:r>
      <w:r w:rsidR="0040245D">
        <w:rPr>
          <w:rFonts w:ascii="Arial" w:hAnsi="Arial" w:cs="Arial"/>
          <w:szCs w:val="22"/>
        </w:rPr>
        <w:t>shall</w:t>
      </w:r>
      <w:r w:rsidR="0040245D" w:rsidRPr="008F74B7">
        <w:rPr>
          <w:rFonts w:ascii="Arial" w:hAnsi="Arial" w:cs="Arial"/>
          <w:szCs w:val="22"/>
        </w:rPr>
        <w:t xml:space="preserve"> </w:t>
      </w:r>
      <w:r w:rsidRPr="008F74B7">
        <w:rPr>
          <w:rFonts w:ascii="Arial" w:hAnsi="Arial" w:cs="Arial"/>
          <w:szCs w:val="22"/>
        </w:rPr>
        <w:t>work closel</w:t>
      </w:r>
      <w:r>
        <w:rPr>
          <w:rFonts w:ascii="Arial" w:hAnsi="Arial" w:cs="Arial"/>
          <w:szCs w:val="22"/>
        </w:rPr>
        <w:t>y and cooperatively with the AP</w:t>
      </w:r>
      <w:r w:rsidRPr="008F74B7">
        <w:rPr>
          <w:rFonts w:ascii="Arial" w:hAnsi="Arial" w:cs="Arial"/>
          <w:szCs w:val="22"/>
        </w:rPr>
        <w:t xml:space="preserve">AC </w:t>
      </w:r>
      <w:r>
        <w:rPr>
          <w:rFonts w:ascii="Arial" w:hAnsi="Arial" w:cs="Arial"/>
          <w:szCs w:val="22"/>
        </w:rPr>
        <w:t>Executive Committee</w:t>
      </w:r>
      <w:r w:rsidRPr="008F74B7">
        <w:rPr>
          <w:rFonts w:ascii="Arial" w:hAnsi="Arial" w:cs="Arial"/>
          <w:szCs w:val="22"/>
        </w:rPr>
        <w:t xml:space="preserve"> in fulfilling his/her responsibiliti</w:t>
      </w:r>
      <w:r>
        <w:rPr>
          <w:rFonts w:ascii="Arial" w:hAnsi="Arial" w:cs="Arial"/>
          <w:szCs w:val="22"/>
        </w:rPr>
        <w:t>es. At the discretion of the APAC Chair, the AP</w:t>
      </w:r>
      <w:r w:rsidRPr="008F74B7">
        <w:rPr>
          <w:rFonts w:ascii="Arial" w:hAnsi="Arial" w:cs="Arial"/>
          <w:szCs w:val="22"/>
        </w:rPr>
        <w:t>A</w:t>
      </w:r>
      <w:r>
        <w:rPr>
          <w:rFonts w:ascii="Arial" w:hAnsi="Arial" w:cs="Arial"/>
          <w:szCs w:val="22"/>
        </w:rPr>
        <w:t>C Quality Manager may attend AP</w:t>
      </w:r>
      <w:r w:rsidRPr="008F74B7">
        <w:rPr>
          <w:rFonts w:ascii="Arial" w:hAnsi="Arial" w:cs="Arial"/>
          <w:szCs w:val="22"/>
        </w:rPr>
        <w:t xml:space="preserve">AC </w:t>
      </w:r>
      <w:r>
        <w:rPr>
          <w:rFonts w:ascii="Arial" w:hAnsi="Arial" w:cs="Arial"/>
          <w:szCs w:val="22"/>
        </w:rPr>
        <w:t>Executive Committee</w:t>
      </w:r>
      <w:r w:rsidRPr="008F74B7">
        <w:rPr>
          <w:rFonts w:ascii="Arial" w:hAnsi="Arial" w:cs="Arial"/>
          <w:szCs w:val="22"/>
        </w:rPr>
        <w:t xml:space="preserve"> meetings, or parts thereof.</w:t>
      </w:r>
    </w:p>
    <w:p w14:paraId="53DF5C1B" w14:textId="77777777" w:rsidR="005718C7" w:rsidRPr="008F74B7" w:rsidRDefault="005718C7" w:rsidP="005718C7">
      <w:pPr>
        <w:pStyle w:val="HEADING"/>
        <w:numPr>
          <w:ilvl w:val="0"/>
          <w:numId w:val="3"/>
        </w:numPr>
        <w:rPr>
          <w:lang w:val="en-GB"/>
        </w:rPr>
      </w:pPr>
      <w:bookmarkStart w:id="4" w:name="_Toc496435569"/>
      <w:r w:rsidRPr="008F74B7">
        <w:rPr>
          <w:lang w:val="en-GB"/>
        </w:rPr>
        <w:t>ROLES AND RESPONSIBILITIES</w:t>
      </w:r>
      <w:bookmarkEnd w:id="4"/>
    </w:p>
    <w:p w14:paraId="3ADD5AF0" w14:textId="77777777" w:rsidR="005718C7" w:rsidRPr="00272F37" w:rsidRDefault="005718C7" w:rsidP="005718C7">
      <w:pPr>
        <w:spacing w:after="220"/>
        <w:ind w:left="851"/>
        <w:rPr>
          <w:rFonts w:ascii="Arial" w:hAnsi="Arial" w:cs="Arial"/>
        </w:rPr>
      </w:pPr>
      <w:r w:rsidRPr="00272F37">
        <w:rPr>
          <w:rFonts w:ascii="Arial" w:hAnsi="Arial" w:cs="Arial"/>
        </w:rPr>
        <w:t>The APAC Quality Manager has responsibility for the following:</w:t>
      </w:r>
    </w:p>
    <w:p w14:paraId="58F68EF0"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In conjunction with the APAC Executive Committee, ensure and verify that the quality system is established, implemented and maintained in accordance with the APAC Constitution and Management System Manual;</w:t>
      </w:r>
    </w:p>
    <w:p w14:paraId="05D680A8" w14:textId="77777777" w:rsidR="005718C7" w:rsidRPr="00A961FF" w:rsidRDefault="005718C7" w:rsidP="005718C7">
      <w:pPr>
        <w:spacing w:after="220"/>
        <w:ind w:left="1985"/>
        <w:rPr>
          <w:rFonts w:ascii="Arial" w:hAnsi="Arial" w:cs="Arial"/>
          <w:i/>
        </w:rPr>
      </w:pPr>
      <w:r w:rsidRPr="00A961FF">
        <w:rPr>
          <w:rFonts w:ascii="Arial" w:hAnsi="Arial" w:cs="Arial"/>
          <w:i/>
        </w:rPr>
        <w:t>Note 1:</w:t>
      </w:r>
      <w:r w:rsidRPr="00A961FF">
        <w:rPr>
          <w:rFonts w:ascii="Arial" w:hAnsi="Arial" w:cs="Arial"/>
          <w:i/>
        </w:rPr>
        <w:tab/>
        <w:t>This will primarily involve (but not necessarily restricted to overseeing and being responsible for the overall operation and implementation of the management system, and ensuring the management system as set out in the APAC Management System Manual is:</w:t>
      </w:r>
    </w:p>
    <w:p w14:paraId="11125CFD" w14:textId="77777777" w:rsidR="005718C7" w:rsidRPr="00A961FF" w:rsidRDefault="005718C7" w:rsidP="005718C7">
      <w:pPr>
        <w:pStyle w:val="ListParagraph"/>
        <w:numPr>
          <w:ilvl w:val="0"/>
          <w:numId w:val="183"/>
        </w:numPr>
        <w:spacing w:after="220"/>
        <w:ind w:left="2410"/>
        <w:rPr>
          <w:rFonts w:ascii="Arial" w:hAnsi="Arial" w:cs="Arial"/>
          <w:i/>
        </w:rPr>
      </w:pPr>
      <w:r w:rsidRPr="00A961FF">
        <w:rPr>
          <w:rFonts w:ascii="Arial" w:hAnsi="Arial" w:cs="Arial"/>
          <w:i/>
        </w:rPr>
        <w:t>Designed to meet APAC objectives;</w:t>
      </w:r>
    </w:p>
    <w:p w14:paraId="088612FB" w14:textId="77777777" w:rsidR="005718C7" w:rsidRPr="00A961FF" w:rsidRDefault="005718C7" w:rsidP="005718C7">
      <w:pPr>
        <w:pStyle w:val="ListParagraph"/>
        <w:numPr>
          <w:ilvl w:val="0"/>
          <w:numId w:val="183"/>
        </w:numPr>
        <w:spacing w:after="220"/>
        <w:ind w:left="2410"/>
        <w:rPr>
          <w:rFonts w:ascii="Arial" w:hAnsi="Arial" w:cs="Arial"/>
          <w:i/>
        </w:rPr>
      </w:pPr>
      <w:r w:rsidRPr="00A961FF">
        <w:rPr>
          <w:rFonts w:ascii="Arial" w:hAnsi="Arial" w:cs="Arial"/>
          <w:i/>
        </w:rPr>
        <w:t>Maintained up-to-date;</w:t>
      </w:r>
    </w:p>
    <w:p w14:paraId="1A92DC16" w14:textId="77777777" w:rsidR="005718C7" w:rsidRPr="00A961FF" w:rsidRDefault="005718C7" w:rsidP="005718C7">
      <w:pPr>
        <w:pStyle w:val="ListParagraph"/>
        <w:numPr>
          <w:ilvl w:val="0"/>
          <w:numId w:val="183"/>
        </w:numPr>
        <w:spacing w:after="220"/>
        <w:ind w:left="2410"/>
        <w:rPr>
          <w:rFonts w:ascii="Arial" w:hAnsi="Arial" w:cs="Arial"/>
          <w:i/>
        </w:rPr>
      </w:pPr>
      <w:r w:rsidRPr="00A961FF">
        <w:rPr>
          <w:rFonts w:ascii="Arial" w:hAnsi="Arial" w:cs="Arial"/>
          <w:i/>
        </w:rPr>
        <w:t>Appropriately implemented.</w:t>
      </w:r>
    </w:p>
    <w:p w14:paraId="0F11F49D" w14:textId="6B6E97FC" w:rsidR="005718C7" w:rsidRPr="00A961FF" w:rsidRDefault="005718C7" w:rsidP="005718C7">
      <w:pPr>
        <w:spacing w:after="220"/>
        <w:ind w:left="1985"/>
        <w:rPr>
          <w:rFonts w:ascii="Arial" w:hAnsi="Arial" w:cs="Arial"/>
          <w:i/>
        </w:rPr>
      </w:pPr>
      <w:r w:rsidRPr="00A961FF">
        <w:rPr>
          <w:rFonts w:ascii="Arial" w:hAnsi="Arial" w:cs="Arial"/>
          <w:i/>
        </w:rPr>
        <w:t>Note 2:</w:t>
      </w:r>
      <w:r w:rsidRPr="00A961FF">
        <w:rPr>
          <w:rFonts w:ascii="Arial" w:hAnsi="Arial" w:cs="Arial"/>
          <w:i/>
        </w:rPr>
        <w:tab/>
        <w:t xml:space="preserve">The establishment, maintenance and implementation of the management system to operate the APAC MRA (nominally as set out in the APAC MRA-series of documents) in accordance with IAF and ILAC requirements for recognised regional co-operations is the responsibility of the APAC MRA Council. </w:t>
      </w:r>
    </w:p>
    <w:p w14:paraId="3EE1DC7D"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 xml:space="preserve">In conjunction with the APAC Chair, coordinate the annual management review of the quality system, and ensure that it is conducted in accordance with the requirements of the APAC Management System Manual. The APAC Quality Manager will provide an annual report to the Executive </w:t>
      </w:r>
      <w:r w:rsidRPr="00272F37">
        <w:rPr>
          <w:rFonts w:ascii="Arial" w:hAnsi="Arial" w:cs="Arial"/>
        </w:rPr>
        <w:lastRenderedPageBreak/>
        <w:t>Committee on the operation of the quality system which will form the basis of the management review;</w:t>
      </w:r>
    </w:p>
    <w:p w14:paraId="79D47CC0"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Coordinate the management of complaints and appeals in accordance the requirements of the APAC Management System Manual. This will include correspondence with the complainant/appellant throughout the process;</w:t>
      </w:r>
    </w:p>
    <w:p w14:paraId="67C2CDAE" w14:textId="77777777" w:rsidR="005718C7" w:rsidRPr="00A961FF" w:rsidRDefault="005718C7" w:rsidP="005718C7">
      <w:pPr>
        <w:spacing w:after="220"/>
        <w:ind w:left="1985"/>
        <w:rPr>
          <w:rFonts w:ascii="Arial" w:hAnsi="Arial" w:cs="Arial"/>
          <w:i/>
        </w:rPr>
      </w:pPr>
      <w:r w:rsidRPr="00A961FF">
        <w:rPr>
          <w:rFonts w:ascii="Arial" w:hAnsi="Arial" w:cs="Arial"/>
          <w:i/>
        </w:rPr>
        <w:t>Note:</w:t>
      </w:r>
      <w:r w:rsidRPr="00A961FF">
        <w:rPr>
          <w:rFonts w:ascii="Arial" w:hAnsi="Arial" w:cs="Arial"/>
          <w:i/>
        </w:rPr>
        <w:tab/>
        <w:t>Appeals to the APAC MRA Council against Council decisions relating to MRA signatory decisions are managed by the APAC MRA Council Chair</w:t>
      </w:r>
    </w:p>
    <w:p w14:paraId="375976D6"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Coordinate that appropriate actions are taken and recorded in order to improve the operation of the quality system, including Corrective Action Requests;</w:t>
      </w:r>
    </w:p>
    <w:p w14:paraId="7E30B56C"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In conjunction with the APAC Secretariat, oversee the updating and maintenance of the APAC controlled documents and documented procedures in accordance with requirements of the APAC Management System Manual;</w:t>
      </w:r>
    </w:p>
    <w:p w14:paraId="2DACED97"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Manage the implementation of the APAC internal audit programme in accordance with requirements of the APAC Management System Manual. This will include:</w:t>
      </w:r>
    </w:p>
    <w:p w14:paraId="5E238F59" w14:textId="77777777" w:rsidR="005718C7" w:rsidRPr="00272F37" w:rsidRDefault="005718C7" w:rsidP="005718C7">
      <w:pPr>
        <w:pStyle w:val="ListParagraph"/>
        <w:numPr>
          <w:ilvl w:val="0"/>
          <w:numId w:val="182"/>
        </w:numPr>
        <w:spacing w:after="220"/>
        <w:rPr>
          <w:rFonts w:ascii="Arial" w:hAnsi="Arial" w:cs="Arial"/>
        </w:rPr>
      </w:pPr>
      <w:r w:rsidRPr="00272F37">
        <w:rPr>
          <w:rFonts w:ascii="Arial" w:hAnsi="Arial" w:cs="Arial"/>
        </w:rPr>
        <w:t>In conjunction with the APAC Executive Committee, establish the frequency and scope of internal audit programme;</w:t>
      </w:r>
    </w:p>
    <w:p w14:paraId="153F2CD7" w14:textId="77777777" w:rsidR="005718C7" w:rsidRPr="00272F37" w:rsidRDefault="005718C7" w:rsidP="005718C7">
      <w:pPr>
        <w:pStyle w:val="ListParagraph"/>
        <w:numPr>
          <w:ilvl w:val="0"/>
          <w:numId w:val="182"/>
        </w:numPr>
        <w:spacing w:after="220"/>
        <w:rPr>
          <w:rFonts w:ascii="Arial" w:hAnsi="Arial" w:cs="Arial"/>
        </w:rPr>
      </w:pPr>
      <w:r w:rsidRPr="00272F37">
        <w:rPr>
          <w:rFonts w:ascii="Arial" w:hAnsi="Arial" w:cs="Arial"/>
        </w:rPr>
        <w:t>In conjunction with the APAC Secretariat, coordinate the logistics of the conduct of the internal audit by the Executive Committee appointed internal auditor(s);</w:t>
      </w:r>
    </w:p>
    <w:p w14:paraId="33A7EFF9" w14:textId="77777777" w:rsidR="005718C7" w:rsidRPr="00272F37" w:rsidRDefault="005718C7" w:rsidP="005718C7">
      <w:pPr>
        <w:pStyle w:val="ListParagraph"/>
        <w:numPr>
          <w:ilvl w:val="0"/>
          <w:numId w:val="182"/>
        </w:numPr>
        <w:spacing w:after="220"/>
        <w:rPr>
          <w:rFonts w:ascii="Arial" w:hAnsi="Arial" w:cs="Arial"/>
        </w:rPr>
      </w:pPr>
      <w:r w:rsidRPr="00272F37">
        <w:rPr>
          <w:rFonts w:ascii="Arial" w:hAnsi="Arial" w:cs="Arial"/>
        </w:rPr>
        <w:t>Review internal audit reports and propose actions to be taken on findings for consideration by the APAC Executive Committee;</w:t>
      </w:r>
    </w:p>
    <w:p w14:paraId="4CAE0251" w14:textId="77777777" w:rsidR="005718C7" w:rsidRPr="00272F37" w:rsidRDefault="005718C7" w:rsidP="005718C7">
      <w:pPr>
        <w:pStyle w:val="ListParagraph"/>
        <w:numPr>
          <w:ilvl w:val="0"/>
          <w:numId w:val="182"/>
        </w:numPr>
        <w:spacing w:after="220"/>
        <w:rPr>
          <w:rFonts w:ascii="Arial" w:hAnsi="Arial" w:cs="Arial"/>
        </w:rPr>
      </w:pPr>
      <w:r w:rsidRPr="00272F37">
        <w:rPr>
          <w:rFonts w:ascii="Arial" w:hAnsi="Arial" w:cs="Arial"/>
        </w:rPr>
        <w:t>Oversee and record the closing of findings (Corrective Action Requests and other findings as appropriate) and report the same to the internal auditor and APAC Executive Committee;</w:t>
      </w:r>
    </w:p>
    <w:p w14:paraId="4A9BB59E" w14:textId="77777777" w:rsidR="005718C7" w:rsidRPr="00272F37" w:rsidRDefault="005718C7" w:rsidP="005718C7">
      <w:pPr>
        <w:pStyle w:val="ListParagraph"/>
        <w:numPr>
          <w:ilvl w:val="0"/>
          <w:numId w:val="181"/>
        </w:numPr>
        <w:spacing w:after="220"/>
        <w:rPr>
          <w:rFonts w:ascii="Arial" w:hAnsi="Arial" w:cs="Arial"/>
        </w:rPr>
      </w:pPr>
      <w:r w:rsidRPr="00272F37">
        <w:rPr>
          <w:rFonts w:ascii="Arial" w:hAnsi="Arial" w:cs="Arial"/>
        </w:rPr>
        <w:t>On behalf of the APAC Executive Committee, report annually to the APAC General Assembly on the performance of the APAC management system.</w:t>
      </w:r>
    </w:p>
    <w:p w14:paraId="52934038" w14:textId="77777777" w:rsidR="005718C7" w:rsidRPr="008F74B7" w:rsidRDefault="005718C7" w:rsidP="005718C7">
      <w:pPr>
        <w:pStyle w:val="HEADING"/>
        <w:numPr>
          <w:ilvl w:val="0"/>
          <w:numId w:val="3"/>
        </w:numPr>
        <w:rPr>
          <w:lang w:val="en-US"/>
        </w:rPr>
      </w:pPr>
      <w:bookmarkStart w:id="5" w:name="_Toc496435570"/>
      <w:r w:rsidRPr="008F74B7">
        <w:rPr>
          <w:lang w:val="en-US"/>
        </w:rPr>
        <w:t>KEY POSITION ACTIVITIES</w:t>
      </w:r>
      <w:bookmarkEnd w:id="5"/>
      <w:r w:rsidRPr="008F74B7">
        <w:rPr>
          <w:lang w:val="en-US"/>
        </w:rPr>
        <w:t xml:space="preserve"> </w:t>
      </w:r>
    </w:p>
    <w:tbl>
      <w:tblPr>
        <w:tblStyle w:val="TableGrid3"/>
        <w:tblW w:w="0" w:type="auto"/>
        <w:tblLook w:val="04A0" w:firstRow="1" w:lastRow="0" w:firstColumn="1" w:lastColumn="0" w:noHBand="0" w:noVBand="1"/>
      </w:tblPr>
      <w:tblGrid>
        <w:gridCol w:w="4786"/>
        <w:gridCol w:w="2268"/>
        <w:gridCol w:w="1666"/>
      </w:tblGrid>
      <w:tr w:rsidR="005718C7" w:rsidRPr="008F74B7" w14:paraId="658E8EC1" w14:textId="77777777" w:rsidTr="00E45B1E">
        <w:trPr>
          <w:trHeight w:val="454"/>
          <w:tblHeader/>
        </w:trPr>
        <w:tc>
          <w:tcPr>
            <w:tcW w:w="4786" w:type="dxa"/>
            <w:vAlign w:val="center"/>
          </w:tcPr>
          <w:p w14:paraId="76138BAB"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Activity*</w:t>
            </w:r>
          </w:p>
        </w:tc>
        <w:tc>
          <w:tcPr>
            <w:tcW w:w="2268" w:type="dxa"/>
            <w:vAlign w:val="center"/>
          </w:tcPr>
          <w:p w14:paraId="66E20B77"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 xml:space="preserve">Time Commitment </w:t>
            </w:r>
          </w:p>
        </w:tc>
        <w:tc>
          <w:tcPr>
            <w:tcW w:w="1666" w:type="dxa"/>
            <w:vAlign w:val="center"/>
          </w:tcPr>
          <w:p w14:paraId="08DEC740" w14:textId="77777777" w:rsidR="005718C7" w:rsidRPr="008F74B7" w:rsidRDefault="005718C7" w:rsidP="00E45B1E">
            <w:pPr>
              <w:spacing w:after="220"/>
              <w:jc w:val="left"/>
              <w:rPr>
                <w:rFonts w:ascii="Arial" w:hAnsi="Arial" w:cs="Arial"/>
                <w:b/>
                <w:lang w:val="en-US"/>
              </w:rPr>
            </w:pPr>
            <w:r w:rsidRPr="008F74B7">
              <w:rPr>
                <w:rFonts w:ascii="Arial" w:hAnsi="Arial" w:cs="Arial"/>
                <w:b/>
                <w:lang w:val="en-US"/>
              </w:rPr>
              <w:t xml:space="preserve">Frequency </w:t>
            </w:r>
          </w:p>
        </w:tc>
      </w:tr>
      <w:tr w:rsidR="005718C7" w:rsidRPr="008F74B7" w14:paraId="03CC243D" w14:textId="77777777" w:rsidTr="00E45B1E">
        <w:trPr>
          <w:trHeight w:val="454"/>
        </w:trPr>
        <w:tc>
          <w:tcPr>
            <w:tcW w:w="4786" w:type="dxa"/>
          </w:tcPr>
          <w:p w14:paraId="29077E45" w14:textId="77777777" w:rsidR="005718C7" w:rsidRPr="008F74B7" w:rsidRDefault="005718C7" w:rsidP="00E45B1E">
            <w:pPr>
              <w:spacing w:after="220"/>
              <w:jc w:val="left"/>
              <w:rPr>
                <w:rFonts w:ascii="Arial" w:hAnsi="Arial" w:cs="Arial"/>
                <w:b/>
                <w:lang w:val="en-US"/>
              </w:rPr>
            </w:pPr>
            <w:r w:rsidRPr="008F74B7">
              <w:rPr>
                <w:rFonts w:ascii="Arial" w:hAnsi="Arial" w:cs="Arial"/>
              </w:rPr>
              <w:t xml:space="preserve">Updates to </w:t>
            </w:r>
            <w:r>
              <w:rPr>
                <w:rFonts w:ascii="Arial" w:hAnsi="Arial" w:cs="Arial"/>
              </w:rPr>
              <w:t>Management System</w:t>
            </w:r>
            <w:r w:rsidRPr="008F74B7">
              <w:rPr>
                <w:rFonts w:ascii="Arial" w:hAnsi="Arial" w:cs="Arial"/>
              </w:rPr>
              <w:t xml:space="preserve"> Manual and associated procedures</w:t>
            </w:r>
          </w:p>
        </w:tc>
        <w:tc>
          <w:tcPr>
            <w:tcW w:w="2268" w:type="dxa"/>
          </w:tcPr>
          <w:p w14:paraId="1F83F615" w14:textId="77777777" w:rsidR="005718C7" w:rsidRPr="008F74B7" w:rsidRDefault="005718C7" w:rsidP="00E45B1E">
            <w:pPr>
              <w:spacing w:after="220"/>
              <w:jc w:val="left"/>
              <w:rPr>
                <w:rFonts w:ascii="Arial" w:hAnsi="Arial" w:cs="Arial"/>
                <w:b/>
                <w:lang w:val="en-US"/>
              </w:rPr>
            </w:pPr>
            <w:r w:rsidRPr="008F74B7">
              <w:rPr>
                <w:rFonts w:ascii="Arial" w:hAnsi="Arial" w:cs="Arial"/>
              </w:rPr>
              <w:t>4 hours each</w:t>
            </w:r>
          </w:p>
        </w:tc>
        <w:tc>
          <w:tcPr>
            <w:tcW w:w="1666" w:type="dxa"/>
          </w:tcPr>
          <w:p w14:paraId="24845561" w14:textId="77777777" w:rsidR="005718C7" w:rsidRPr="008F74B7" w:rsidRDefault="005718C7" w:rsidP="00E45B1E">
            <w:pPr>
              <w:spacing w:after="220"/>
              <w:jc w:val="left"/>
              <w:rPr>
                <w:rFonts w:ascii="Arial" w:hAnsi="Arial" w:cs="Arial"/>
                <w:b/>
                <w:lang w:val="en-US"/>
              </w:rPr>
            </w:pPr>
            <w:r w:rsidRPr="008F74B7">
              <w:rPr>
                <w:rFonts w:ascii="Arial" w:hAnsi="Arial" w:cs="Arial"/>
              </w:rPr>
              <w:t>Twice / year</w:t>
            </w:r>
          </w:p>
        </w:tc>
      </w:tr>
      <w:tr w:rsidR="005718C7" w:rsidRPr="008F74B7" w14:paraId="54F66334" w14:textId="77777777" w:rsidTr="00E45B1E">
        <w:trPr>
          <w:trHeight w:val="454"/>
        </w:trPr>
        <w:tc>
          <w:tcPr>
            <w:tcW w:w="4786" w:type="dxa"/>
          </w:tcPr>
          <w:p w14:paraId="4996DBE7" w14:textId="77777777" w:rsidR="005718C7" w:rsidRPr="008F74B7" w:rsidRDefault="005718C7" w:rsidP="00E45B1E">
            <w:pPr>
              <w:spacing w:after="220"/>
              <w:jc w:val="left"/>
              <w:rPr>
                <w:rFonts w:ascii="Arial" w:hAnsi="Arial" w:cs="Arial"/>
                <w:b/>
                <w:lang w:val="en-US"/>
              </w:rPr>
            </w:pPr>
            <w:r w:rsidRPr="008F74B7">
              <w:rPr>
                <w:rFonts w:ascii="Arial" w:hAnsi="Arial" w:cs="Arial"/>
              </w:rPr>
              <w:t>Management review and follow up</w:t>
            </w:r>
          </w:p>
        </w:tc>
        <w:tc>
          <w:tcPr>
            <w:tcW w:w="2268" w:type="dxa"/>
          </w:tcPr>
          <w:p w14:paraId="3B7EF90C" w14:textId="77777777" w:rsidR="005718C7" w:rsidRPr="008F74B7" w:rsidRDefault="005718C7" w:rsidP="00E45B1E">
            <w:pPr>
              <w:spacing w:after="220"/>
              <w:jc w:val="left"/>
              <w:rPr>
                <w:rFonts w:ascii="Arial" w:hAnsi="Arial" w:cs="Arial"/>
                <w:b/>
                <w:lang w:val="en-US"/>
              </w:rPr>
            </w:pPr>
            <w:r w:rsidRPr="008F74B7">
              <w:rPr>
                <w:rFonts w:ascii="Arial" w:hAnsi="Arial" w:cs="Arial"/>
              </w:rPr>
              <w:t>4 hours</w:t>
            </w:r>
          </w:p>
        </w:tc>
        <w:tc>
          <w:tcPr>
            <w:tcW w:w="1666" w:type="dxa"/>
          </w:tcPr>
          <w:p w14:paraId="112509D1" w14:textId="77777777" w:rsidR="005718C7" w:rsidRPr="008F74B7" w:rsidRDefault="005718C7" w:rsidP="00E45B1E">
            <w:pPr>
              <w:spacing w:after="220"/>
              <w:jc w:val="left"/>
              <w:rPr>
                <w:rFonts w:ascii="Arial" w:hAnsi="Arial" w:cs="Arial"/>
                <w:b/>
                <w:lang w:val="en-US"/>
              </w:rPr>
            </w:pPr>
            <w:r w:rsidRPr="008F74B7">
              <w:rPr>
                <w:rFonts w:ascii="Arial" w:hAnsi="Arial" w:cs="Arial"/>
              </w:rPr>
              <w:t>Once / year</w:t>
            </w:r>
          </w:p>
        </w:tc>
      </w:tr>
      <w:tr w:rsidR="005718C7" w:rsidRPr="008F74B7" w14:paraId="4FACF500" w14:textId="77777777" w:rsidTr="00E45B1E">
        <w:trPr>
          <w:trHeight w:val="454"/>
        </w:trPr>
        <w:tc>
          <w:tcPr>
            <w:tcW w:w="4786" w:type="dxa"/>
          </w:tcPr>
          <w:p w14:paraId="0B489849" w14:textId="77777777" w:rsidR="005718C7" w:rsidRPr="008F74B7" w:rsidRDefault="005718C7" w:rsidP="00E45B1E">
            <w:pPr>
              <w:spacing w:after="220"/>
              <w:jc w:val="left"/>
              <w:rPr>
                <w:rFonts w:ascii="Arial" w:hAnsi="Arial" w:cs="Arial"/>
                <w:b/>
                <w:lang w:val="en-US"/>
              </w:rPr>
            </w:pPr>
            <w:r w:rsidRPr="008F74B7">
              <w:rPr>
                <w:rFonts w:ascii="Arial" w:hAnsi="Arial" w:cs="Arial"/>
              </w:rPr>
              <w:t>Complaints</w:t>
            </w:r>
          </w:p>
        </w:tc>
        <w:tc>
          <w:tcPr>
            <w:tcW w:w="2268" w:type="dxa"/>
          </w:tcPr>
          <w:p w14:paraId="7B06EC8D" w14:textId="77777777" w:rsidR="005718C7" w:rsidRPr="008F74B7" w:rsidRDefault="005718C7" w:rsidP="00E45B1E">
            <w:pPr>
              <w:spacing w:after="220"/>
              <w:jc w:val="left"/>
              <w:rPr>
                <w:rFonts w:ascii="Arial" w:hAnsi="Arial" w:cs="Arial"/>
                <w:b/>
                <w:lang w:val="en-US"/>
              </w:rPr>
            </w:pPr>
            <w:r w:rsidRPr="008F74B7">
              <w:rPr>
                <w:rFonts w:ascii="Arial" w:hAnsi="Arial" w:cs="Arial"/>
              </w:rPr>
              <w:t>4 hours each</w:t>
            </w:r>
          </w:p>
        </w:tc>
        <w:tc>
          <w:tcPr>
            <w:tcW w:w="1666" w:type="dxa"/>
          </w:tcPr>
          <w:p w14:paraId="53ADDABA" w14:textId="77777777" w:rsidR="005718C7" w:rsidRPr="008F74B7" w:rsidRDefault="005718C7" w:rsidP="00E45B1E">
            <w:pPr>
              <w:spacing w:after="220"/>
              <w:jc w:val="left"/>
              <w:rPr>
                <w:rFonts w:ascii="Arial" w:hAnsi="Arial" w:cs="Arial"/>
                <w:b/>
                <w:lang w:val="en-US"/>
              </w:rPr>
            </w:pPr>
            <w:r w:rsidRPr="008F74B7">
              <w:rPr>
                <w:rFonts w:ascii="Arial" w:hAnsi="Arial" w:cs="Arial"/>
              </w:rPr>
              <w:t>Four times / year</w:t>
            </w:r>
          </w:p>
        </w:tc>
      </w:tr>
      <w:tr w:rsidR="005718C7" w:rsidRPr="008F74B7" w14:paraId="09436DA8" w14:textId="77777777" w:rsidTr="00E45B1E">
        <w:trPr>
          <w:trHeight w:val="454"/>
        </w:trPr>
        <w:tc>
          <w:tcPr>
            <w:tcW w:w="4786" w:type="dxa"/>
          </w:tcPr>
          <w:p w14:paraId="393FDC43" w14:textId="77777777" w:rsidR="005718C7" w:rsidRPr="008F74B7" w:rsidRDefault="005718C7" w:rsidP="00E45B1E">
            <w:pPr>
              <w:spacing w:after="220"/>
              <w:jc w:val="left"/>
              <w:rPr>
                <w:rFonts w:ascii="Arial" w:hAnsi="Arial" w:cs="Arial"/>
                <w:b/>
                <w:lang w:val="en-US"/>
              </w:rPr>
            </w:pPr>
            <w:r w:rsidRPr="008F74B7">
              <w:rPr>
                <w:rFonts w:ascii="Arial" w:hAnsi="Arial" w:cs="Arial"/>
              </w:rPr>
              <w:t>Updates to other documents, procedures, forms etc</w:t>
            </w:r>
          </w:p>
        </w:tc>
        <w:tc>
          <w:tcPr>
            <w:tcW w:w="2268" w:type="dxa"/>
          </w:tcPr>
          <w:p w14:paraId="61F1D952" w14:textId="77777777" w:rsidR="005718C7" w:rsidRPr="008F74B7" w:rsidRDefault="005718C7" w:rsidP="00E45B1E">
            <w:pPr>
              <w:spacing w:after="220"/>
              <w:jc w:val="left"/>
              <w:rPr>
                <w:rFonts w:ascii="Arial" w:hAnsi="Arial" w:cs="Arial"/>
                <w:b/>
                <w:lang w:val="en-US"/>
              </w:rPr>
            </w:pPr>
            <w:r w:rsidRPr="008F74B7">
              <w:rPr>
                <w:rFonts w:ascii="Arial" w:hAnsi="Arial" w:cs="Arial"/>
              </w:rPr>
              <w:t>2 hours each</w:t>
            </w:r>
          </w:p>
        </w:tc>
        <w:tc>
          <w:tcPr>
            <w:tcW w:w="1666" w:type="dxa"/>
          </w:tcPr>
          <w:p w14:paraId="162AF69C" w14:textId="77777777" w:rsidR="005718C7" w:rsidRPr="008F74B7" w:rsidRDefault="005718C7" w:rsidP="00E45B1E">
            <w:pPr>
              <w:spacing w:after="220"/>
              <w:jc w:val="left"/>
              <w:rPr>
                <w:rFonts w:ascii="Arial" w:hAnsi="Arial" w:cs="Arial"/>
                <w:b/>
                <w:lang w:val="en-US"/>
              </w:rPr>
            </w:pPr>
            <w:r w:rsidRPr="008F74B7">
              <w:rPr>
                <w:rFonts w:ascii="Arial" w:hAnsi="Arial" w:cs="Arial"/>
              </w:rPr>
              <w:t>Twice / year</w:t>
            </w:r>
          </w:p>
        </w:tc>
      </w:tr>
      <w:tr w:rsidR="005718C7" w:rsidRPr="008F74B7" w14:paraId="2D622F87" w14:textId="77777777" w:rsidTr="00E45B1E">
        <w:trPr>
          <w:trHeight w:val="454"/>
        </w:trPr>
        <w:tc>
          <w:tcPr>
            <w:tcW w:w="4786" w:type="dxa"/>
          </w:tcPr>
          <w:p w14:paraId="7AD2753C" w14:textId="77777777" w:rsidR="005718C7" w:rsidRPr="008F74B7" w:rsidRDefault="005718C7" w:rsidP="00E45B1E">
            <w:pPr>
              <w:spacing w:after="220"/>
              <w:jc w:val="left"/>
              <w:rPr>
                <w:rFonts w:ascii="Arial" w:hAnsi="Arial" w:cs="Arial"/>
                <w:b/>
                <w:lang w:val="en-US"/>
              </w:rPr>
            </w:pPr>
            <w:r w:rsidRPr="008F74B7">
              <w:rPr>
                <w:rFonts w:ascii="Arial" w:hAnsi="Arial" w:cs="Arial"/>
              </w:rPr>
              <w:t>Internal audit and follow up</w:t>
            </w:r>
          </w:p>
        </w:tc>
        <w:tc>
          <w:tcPr>
            <w:tcW w:w="2268" w:type="dxa"/>
          </w:tcPr>
          <w:p w14:paraId="76E86944" w14:textId="77777777" w:rsidR="005718C7" w:rsidRPr="008F74B7" w:rsidRDefault="005718C7" w:rsidP="00E45B1E">
            <w:pPr>
              <w:spacing w:after="220"/>
              <w:jc w:val="left"/>
              <w:rPr>
                <w:rFonts w:ascii="Arial" w:hAnsi="Arial" w:cs="Arial"/>
                <w:b/>
                <w:lang w:val="en-US"/>
              </w:rPr>
            </w:pPr>
            <w:r w:rsidRPr="008F74B7">
              <w:rPr>
                <w:rFonts w:ascii="Arial" w:hAnsi="Arial" w:cs="Arial"/>
              </w:rPr>
              <w:t>5 days</w:t>
            </w:r>
          </w:p>
        </w:tc>
        <w:tc>
          <w:tcPr>
            <w:tcW w:w="1666" w:type="dxa"/>
          </w:tcPr>
          <w:p w14:paraId="4D1B5A40" w14:textId="77777777" w:rsidR="005718C7" w:rsidRPr="008F74B7" w:rsidRDefault="005718C7" w:rsidP="00E45B1E">
            <w:pPr>
              <w:spacing w:after="220"/>
              <w:jc w:val="left"/>
              <w:rPr>
                <w:rFonts w:ascii="Arial" w:hAnsi="Arial" w:cs="Arial"/>
                <w:b/>
                <w:lang w:val="en-US"/>
              </w:rPr>
            </w:pPr>
            <w:r w:rsidRPr="008F74B7">
              <w:rPr>
                <w:rFonts w:ascii="Arial" w:hAnsi="Arial" w:cs="Arial"/>
              </w:rPr>
              <w:t>Once / two years</w:t>
            </w:r>
          </w:p>
        </w:tc>
      </w:tr>
      <w:tr w:rsidR="005718C7" w:rsidRPr="008F74B7" w14:paraId="0C3CDCBB" w14:textId="77777777" w:rsidTr="00E45B1E">
        <w:trPr>
          <w:trHeight w:val="454"/>
        </w:trPr>
        <w:tc>
          <w:tcPr>
            <w:tcW w:w="4786" w:type="dxa"/>
          </w:tcPr>
          <w:p w14:paraId="2AC62590" w14:textId="77777777" w:rsidR="005718C7" w:rsidRPr="008F74B7" w:rsidRDefault="005718C7" w:rsidP="00E45B1E">
            <w:pPr>
              <w:spacing w:after="220"/>
              <w:jc w:val="left"/>
              <w:rPr>
                <w:rFonts w:ascii="Arial" w:hAnsi="Arial" w:cs="Arial"/>
                <w:b/>
                <w:lang w:val="en-US"/>
              </w:rPr>
            </w:pPr>
            <w:r w:rsidRPr="008F74B7">
              <w:rPr>
                <w:rFonts w:ascii="Arial" w:hAnsi="Arial" w:cs="Arial"/>
              </w:rPr>
              <w:t xml:space="preserve">Ad hoc requests from </w:t>
            </w:r>
            <w:r>
              <w:rPr>
                <w:rFonts w:ascii="Arial" w:hAnsi="Arial" w:cs="Arial"/>
              </w:rPr>
              <w:t>APAC Chair and APAC S</w:t>
            </w:r>
            <w:r w:rsidRPr="008F74B7">
              <w:rPr>
                <w:rFonts w:ascii="Arial" w:hAnsi="Arial" w:cs="Arial"/>
              </w:rPr>
              <w:t>ecretariat</w:t>
            </w:r>
          </w:p>
        </w:tc>
        <w:tc>
          <w:tcPr>
            <w:tcW w:w="2268" w:type="dxa"/>
          </w:tcPr>
          <w:p w14:paraId="0E9BBEC9" w14:textId="77777777" w:rsidR="005718C7" w:rsidRPr="008F74B7" w:rsidRDefault="005718C7" w:rsidP="00E45B1E">
            <w:pPr>
              <w:spacing w:after="220"/>
              <w:jc w:val="left"/>
              <w:rPr>
                <w:rFonts w:ascii="Arial" w:hAnsi="Arial" w:cs="Arial"/>
                <w:b/>
                <w:lang w:val="en-US"/>
              </w:rPr>
            </w:pPr>
            <w:r w:rsidRPr="008F74B7">
              <w:rPr>
                <w:rFonts w:ascii="Arial" w:hAnsi="Arial" w:cs="Arial"/>
              </w:rPr>
              <w:t>1 hour each</w:t>
            </w:r>
          </w:p>
        </w:tc>
        <w:tc>
          <w:tcPr>
            <w:tcW w:w="1666" w:type="dxa"/>
          </w:tcPr>
          <w:p w14:paraId="07F2E4B6" w14:textId="77777777" w:rsidR="005718C7" w:rsidRPr="008F74B7" w:rsidRDefault="005718C7" w:rsidP="00E45B1E">
            <w:pPr>
              <w:spacing w:after="220"/>
              <w:jc w:val="left"/>
              <w:rPr>
                <w:rFonts w:ascii="Arial" w:hAnsi="Arial" w:cs="Arial"/>
                <w:b/>
                <w:lang w:val="en-US"/>
              </w:rPr>
            </w:pPr>
            <w:r w:rsidRPr="008F74B7">
              <w:rPr>
                <w:rFonts w:ascii="Arial" w:hAnsi="Arial" w:cs="Arial"/>
              </w:rPr>
              <w:t>As requested</w:t>
            </w:r>
          </w:p>
        </w:tc>
      </w:tr>
      <w:tr w:rsidR="005718C7" w:rsidRPr="008F74B7" w14:paraId="0E9A4055" w14:textId="77777777" w:rsidTr="00E45B1E">
        <w:trPr>
          <w:trHeight w:val="454"/>
        </w:trPr>
        <w:tc>
          <w:tcPr>
            <w:tcW w:w="4786" w:type="dxa"/>
          </w:tcPr>
          <w:p w14:paraId="15ECB7C5" w14:textId="77777777" w:rsidR="005718C7" w:rsidRPr="008F74B7" w:rsidRDefault="005718C7" w:rsidP="00E45B1E">
            <w:pPr>
              <w:spacing w:after="220"/>
              <w:jc w:val="left"/>
              <w:rPr>
                <w:rFonts w:ascii="Arial" w:hAnsi="Arial" w:cs="Arial"/>
                <w:b/>
                <w:lang w:val="en-US"/>
              </w:rPr>
            </w:pPr>
            <w:r w:rsidRPr="008F74B7">
              <w:rPr>
                <w:rFonts w:ascii="Arial" w:hAnsi="Arial" w:cs="Arial"/>
              </w:rPr>
              <w:t>Appeals</w:t>
            </w:r>
          </w:p>
        </w:tc>
        <w:tc>
          <w:tcPr>
            <w:tcW w:w="2268" w:type="dxa"/>
          </w:tcPr>
          <w:p w14:paraId="3552BF22" w14:textId="77777777" w:rsidR="005718C7" w:rsidRPr="008F74B7" w:rsidRDefault="005718C7" w:rsidP="00E45B1E">
            <w:pPr>
              <w:spacing w:after="220"/>
              <w:jc w:val="left"/>
              <w:rPr>
                <w:rFonts w:ascii="Arial" w:hAnsi="Arial" w:cs="Arial"/>
                <w:b/>
                <w:lang w:val="en-US"/>
              </w:rPr>
            </w:pPr>
            <w:r w:rsidRPr="008F74B7">
              <w:rPr>
                <w:rFonts w:ascii="Arial" w:hAnsi="Arial" w:cs="Arial"/>
              </w:rPr>
              <w:t>TBA</w:t>
            </w:r>
          </w:p>
        </w:tc>
        <w:tc>
          <w:tcPr>
            <w:tcW w:w="1666" w:type="dxa"/>
          </w:tcPr>
          <w:p w14:paraId="427B4887" w14:textId="77777777" w:rsidR="005718C7" w:rsidRPr="008F74B7" w:rsidRDefault="005718C7" w:rsidP="00E45B1E">
            <w:pPr>
              <w:spacing w:after="220"/>
              <w:jc w:val="left"/>
              <w:rPr>
                <w:rFonts w:ascii="Arial" w:hAnsi="Arial" w:cs="Arial"/>
                <w:b/>
                <w:lang w:val="en-US"/>
              </w:rPr>
            </w:pPr>
            <w:r w:rsidRPr="008F74B7">
              <w:rPr>
                <w:rFonts w:ascii="Arial" w:hAnsi="Arial" w:cs="Arial"/>
              </w:rPr>
              <w:t>As requested</w:t>
            </w:r>
          </w:p>
        </w:tc>
      </w:tr>
      <w:tr w:rsidR="005718C7" w:rsidRPr="008F74B7" w14:paraId="08E5A42F" w14:textId="77777777" w:rsidTr="00E45B1E">
        <w:trPr>
          <w:trHeight w:val="454"/>
        </w:trPr>
        <w:tc>
          <w:tcPr>
            <w:tcW w:w="4786" w:type="dxa"/>
          </w:tcPr>
          <w:p w14:paraId="4EA2B5D3" w14:textId="77777777" w:rsidR="005718C7" w:rsidRPr="008F74B7" w:rsidRDefault="005718C7" w:rsidP="00E45B1E">
            <w:pPr>
              <w:spacing w:after="220"/>
              <w:jc w:val="left"/>
              <w:rPr>
                <w:rFonts w:ascii="Arial" w:hAnsi="Arial" w:cs="Arial"/>
                <w:b/>
                <w:lang w:val="en-US"/>
              </w:rPr>
            </w:pPr>
            <w:r w:rsidRPr="008F74B7">
              <w:rPr>
                <w:rFonts w:ascii="Arial" w:hAnsi="Arial" w:cs="Arial"/>
              </w:rPr>
              <w:t xml:space="preserve">Updates to </w:t>
            </w:r>
            <w:r>
              <w:rPr>
                <w:rFonts w:ascii="Arial" w:hAnsi="Arial" w:cs="Arial"/>
              </w:rPr>
              <w:t>Management System</w:t>
            </w:r>
            <w:r w:rsidRPr="008F74B7">
              <w:rPr>
                <w:rFonts w:ascii="Arial" w:hAnsi="Arial" w:cs="Arial"/>
              </w:rPr>
              <w:t xml:space="preserve"> Manual and associated procedures</w:t>
            </w:r>
          </w:p>
        </w:tc>
        <w:tc>
          <w:tcPr>
            <w:tcW w:w="2268" w:type="dxa"/>
          </w:tcPr>
          <w:p w14:paraId="53263B4A" w14:textId="77777777" w:rsidR="005718C7" w:rsidRPr="008F74B7" w:rsidRDefault="005718C7" w:rsidP="00E45B1E">
            <w:pPr>
              <w:spacing w:after="220"/>
              <w:jc w:val="left"/>
              <w:rPr>
                <w:rFonts w:ascii="Arial" w:hAnsi="Arial" w:cs="Arial"/>
                <w:b/>
                <w:lang w:val="en-US"/>
              </w:rPr>
            </w:pPr>
            <w:r w:rsidRPr="008F74B7">
              <w:rPr>
                <w:rFonts w:ascii="Arial" w:hAnsi="Arial" w:cs="Arial"/>
              </w:rPr>
              <w:t>4 hours each</w:t>
            </w:r>
          </w:p>
        </w:tc>
        <w:tc>
          <w:tcPr>
            <w:tcW w:w="1666" w:type="dxa"/>
          </w:tcPr>
          <w:p w14:paraId="7CBD6557" w14:textId="77777777" w:rsidR="005718C7" w:rsidRPr="008F74B7" w:rsidRDefault="005718C7" w:rsidP="00E45B1E">
            <w:pPr>
              <w:spacing w:after="220"/>
              <w:jc w:val="left"/>
              <w:rPr>
                <w:rFonts w:ascii="Arial" w:hAnsi="Arial" w:cs="Arial"/>
                <w:b/>
                <w:lang w:val="en-US"/>
              </w:rPr>
            </w:pPr>
            <w:r w:rsidRPr="008F74B7">
              <w:rPr>
                <w:rFonts w:ascii="Arial" w:hAnsi="Arial" w:cs="Arial"/>
              </w:rPr>
              <w:t>Twice / year</w:t>
            </w:r>
          </w:p>
        </w:tc>
      </w:tr>
      <w:tr w:rsidR="005718C7" w:rsidRPr="008F74B7" w14:paraId="2CF95976" w14:textId="77777777" w:rsidTr="00E45B1E">
        <w:trPr>
          <w:trHeight w:val="454"/>
        </w:trPr>
        <w:tc>
          <w:tcPr>
            <w:tcW w:w="4786" w:type="dxa"/>
          </w:tcPr>
          <w:p w14:paraId="6CD85000" w14:textId="77777777" w:rsidR="005718C7" w:rsidRPr="008F74B7" w:rsidRDefault="005718C7" w:rsidP="00E45B1E">
            <w:pPr>
              <w:spacing w:after="220"/>
              <w:jc w:val="left"/>
              <w:rPr>
                <w:rFonts w:ascii="Arial" w:hAnsi="Arial" w:cs="Arial"/>
                <w:b/>
                <w:lang w:val="en-US"/>
              </w:rPr>
            </w:pPr>
            <w:r w:rsidRPr="008F74B7">
              <w:rPr>
                <w:rFonts w:ascii="Arial" w:hAnsi="Arial" w:cs="Arial"/>
              </w:rPr>
              <w:lastRenderedPageBreak/>
              <w:t>Management review and follow up</w:t>
            </w:r>
          </w:p>
        </w:tc>
        <w:tc>
          <w:tcPr>
            <w:tcW w:w="2268" w:type="dxa"/>
          </w:tcPr>
          <w:p w14:paraId="4182014B" w14:textId="77777777" w:rsidR="005718C7" w:rsidRPr="008F74B7" w:rsidRDefault="005718C7" w:rsidP="00E45B1E">
            <w:pPr>
              <w:spacing w:after="220"/>
              <w:jc w:val="left"/>
              <w:rPr>
                <w:rFonts w:ascii="Arial" w:hAnsi="Arial" w:cs="Arial"/>
                <w:b/>
                <w:lang w:val="en-US"/>
              </w:rPr>
            </w:pPr>
            <w:r w:rsidRPr="008F74B7">
              <w:rPr>
                <w:rFonts w:ascii="Arial" w:hAnsi="Arial" w:cs="Arial"/>
              </w:rPr>
              <w:t>4 hours</w:t>
            </w:r>
          </w:p>
        </w:tc>
        <w:tc>
          <w:tcPr>
            <w:tcW w:w="1666" w:type="dxa"/>
          </w:tcPr>
          <w:p w14:paraId="3378664D" w14:textId="77777777" w:rsidR="005718C7" w:rsidRPr="008F74B7" w:rsidRDefault="005718C7" w:rsidP="00E45B1E">
            <w:pPr>
              <w:spacing w:after="220"/>
              <w:jc w:val="left"/>
              <w:rPr>
                <w:rFonts w:ascii="Arial" w:hAnsi="Arial" w:cs="Arial"/>
                <w:b/>
                <w:lang w:val="en-US"/>
              </w:rPr>
            </w:pPr>
            <w:r w:rsidRPr="008F74B7">
              <w:rPr>
                <w:rFonts w:ascii="Arial" w:hAnsi="Arial" w:cs="Arial"/>
              </w:rPr>
              <w:t>Once / year</w:t>
            </w:r>
          </w:p>
        </w:tc>
      </w:tr>
      <w:tr w:rsidR="005718C7" w:rsidRPr="008F74B7" w14:paraId="6C937E96" w14:textId="77777777" w:rsidTr="00E45B1E">
        <w:trPr>
          <w:trHeight w:val="454"/>
        </w:trPr>
        <w:tc>
          <w:tcPr>
            <w:tcW w:w="4786" w:type="dxa"/>
          </w:tcPr>
          <w:p w14:paraId="74E9D443" w14:textId="77777777" w:rsidR="005718C7" w:rsidRPr="008F74B7" w:rsidRDefault="005718C7" w:rsidP="00E45B1E">
            <w:pPr>
              <w:spacing w:after="220"/>
              <w:jc w:val="left"/>
              <w:rPr>
                <w:rFonts w:ascii="Arial" w:hAnsi="Arial" w:cs="Arial"/>
                <w:b/>
                <w:lang w:val="en-US"/>
              </w:rPr>
            </w:pPr>
            <w:r w:rsidRPr="008F74B7">
              <w:rPr>
                <w:rFonts w:ascii="Arial" w:hAnsi="Arial" w:cs="Arial"/>
              </w:rPr>
              <w:t>Complaints</w:t>
            </w:r>
          </w:p>
        </w:tc>
        <w:tc>
          <w:tcPr>
            <w:tcW w:w="2268" w:type="dxa"/>
          </w:tcPr>
          <w:p w14:paraId="49810AB8" w14:textId="77777777" w:rsidR="005718C7" w:rsidRPr="008F74B7" w:rsidRDefault="005718C7" w:rsidP="00E45B1E">
            <w:pPr>
              <w:spacing w:after="220"/>
              <w:jc w:val="left"/>
              <w:rPr>
                <w:rFonts w:ascii="Arial" w:hAnsi="Arial" w:cs="Arial"/>
                <w:b/>
                <w:lang w:val="en-US"/>
              </w:rPr>
            </w:pPr>
            <w:r w:rsidRPr="008F74B7">
              <w:rPr>
                <w:rFonts w:ascii="Arial" w:hAnsi="Arial" w:cs="Arial"/>
              </w:rPr>
              <w:t>4 hours each</w:t>
            </w:r>
          </w:p>
        </w:tc>
        <w:tc>
          <w:tcPr>
            <w:tcW w:w="1666" w:type="dxa"/>
          </w:tcPr>
          <w:p w14:paraId="768522C3" w14:textId="77777777" w:rsidR="005718C7" w:rsidRPr="008F74B7" w:rsidRDefault="005718C7" w:rsidP="00E45B1E">
            <w:pPr>
              <w:spacing w:after="220"/>
              <w:jc w:val="left"/>
              <w:rPr>
                <w:rFonts w:ascii="Arial" w:hAnsi="Arial" w:cs="Arial"/>
                <w:b/>
                <w:lang w:val="en-US"/>
              </w:rPr>
            </w:pPr>
            <w:r w:rsidRPr="008F74B7">
              <w:rPr>
                <w:rFonts w:ascii="Arial" w:hAnsi="Arial" w:cs="Arial"/>
              </w:rPr>
              <w:t>Four times / year</w:t>
            </w:r>
          </w:p>
        </w:tc>
      </w:tr>
    </w:tbl>
    <w:p w14:paraId="716C221F" w14:textId="77777777" w:rsidR="005718C7" w:rsidRPr="008F74B7" w:rsidRDefault="005718C7" w:rsidP="005718C7">
      <w:pPr>
        <w:spacing w:after="220"/>
        <w:jc w:val="left"/>
        <w:rPr>
          <w:rFonts w:ascii="Arial" w:eastAsia="Times New Roman" w:hAnsi="Arial" w:cs="Arial"/>
          <w:szCs w:val="22"/>
          <w:lang w:val="en-US" w:eastAsia="en-AU"/>
        </w:rPr>
      </w:pPr>
    </w:p>
    <w:p w14:paraId="5C65F32D" w14:textId="77777777" w:rsidR="005718C7" w:rsidRPr="008F74B7" w:rsidRDefault="005718C7" w:rsidP="005718C7">
      <w:pPr>
        <w:pStyle w:val="HEADING"/>
        <w:numPr>
          <w:ilvl w:val="0"/>
          <w:numId w:val="3"/>
        </w:numPr>
        <w:rPr>
          <w:lang w:val="en-US" w:eastAsia="en-AU"/>
        </w:rPr>
      </w:pPr>
      <w:bookmarkStart w:id="6" w:name="_Toc496435571"/>
      <w:r w:rsidRPr="008F74B7">
        <w:rPr>
          <w:lang w:val="en-US" w:eastAsia="en-AU"/>
        </w:rPr>
        <w:t>AMENDMENT TABLE</w:t>
      </w:r>
      <w:bookmarkEnd w:id="6"/>
    </w:p>
    <w:p w14:paraId="4E2EDF30" w14:textId="77777777" w:rsidR="005718C7" w:rsidRPr="008F74B7" w:rsidRDefault="005718C7" w:rsidP="005718C7">
      <w:pPr>
        <w:spacing w:after="220"/>
        <w:ind w:left="851"/>
        <w:jc w:val="left"/>
        <w:rPr>
          <w:rFonts w:ascii="Arial" w:eastAsia="Times New Roman" w:hAnsi="Arial" w:cs="Arial"/>
          <w:szCs w:val="22"/>
          <w:lang w:val="en-US" w:eastAsia="en-AU"/>
        </w:rPr>
      </w:pPr>
      <w:r w:rsidRPr="008F74B7">
        <w:rPr>
          <w:rFonts w:ascii="Arial" w:eastAsia="Times New Roman" w:hAnsi="Arial" w:cs="Arial"/>
          <w:szCs w:val="22"/>
          <w:lang w:val="en-US" w:eastAsia="en-AU"/>
        </w:rPr>
        <w:t>This table provides a summary of the changes to the document with this issue.</w:t>
      </w:r>
    </w:p>
    <w:tbl>
      <w:tblPr>
        <w:tblStyle w:val="TableGrid1"/>
        <w:tblW w:w="7654" w:type="dxa"/>
        <w:tblInd w:w="959" w:type="dxa"/>
        <w:tblLook w:val="04A0" w:firstRow="1" w:lastRow="0" w:firstColumn="1" w:lastColumn="0" w:noHBand="0" w:noVBand="1"/>
      </w:tblPr>
      <w:tblGrid>
        <w:gridCol w:w="2977"/>
        <w:gridCol w:w="4677"/>
      </w:tblGrid>
      <w:tr w:rsidR="005718C7" w:rsidRPr="008F74B7" w14:paraId="3005179D" w14:textId="77777777" w:rsidTr="00E45B1E">
        <w:tc>
          <w:tcPr>
            <w:tcW w:w="2977" w:type="dxa"/>
          </w:tcPr>
          <w:p w14:paraId="7735061B" w14:textId="77777777" w:rsidR="005718C7" w:rsidRPr="008F74B7" w:rsidRDefault="005718C7" w:rsidP="00E45B1E">
            <w:pPr>
              <w:tabs>
                <w:tab w:val="left" w:pos="1080"/>
                <w:tab w:val="left" w:pos="1276"/>
              </w:tabs>
              <w:spacing w:after="220"/>
              <w:ind w:left="851"/>
              <w:jc w:val="left"/>
              <w:rPr>
                <w:rFonts w:ascii="Arial" w:hAnsi="Arial" w:cs="Arial"/>
                <w:b/>
                <w:szCs w:val="22"/>
                <w:lang w:val="en-US" w:eastAsia="en-AU"/>
              </w:rPr>
            </w:pPr>
            <w:r w:rsidRPr="008F74B7">
              <w:rPr>
                <w:rFonts w:ascii="Arial" w:hAnsi="Arial" w:cs="Arial"/>
                <w:b/>
                <w:szCs w:val="22"/>
                <w:lang w:val="en-US" w:eastAsia="en-AU"/>
              </w:rPr>
              <w:t>Section(s)</w:t>
            </w:r>
          </w:p>
        </w:tc>
        <w:tc>
          <w:tcPr>
            <w:tcW w:w="4677" w:type="dxa"/>
          </w:tcPr>
          <w:p w14:paraId="48383990" w14:textId="77777777" w:rsidR="005718C7" w:rsidRPr="008F74B7" w:rsidRDefault="005718C7" w:rsidP="00E45B1E">
            <w:pPr>
              <w:tabs>
                <w:tab w:val="left" w:pos="1080"/>
                <w:tab w:val="left" w:pos="1276"/>
              </w:tabs>
              <w:spacing w:after="220"/>
              <w:ind w:left="851"/>
              <w:jc w:val="left"/>
              <w:rPr>
                <w:rFonts w:ascii="Arial" w:hAnsi="Arial" w:cs="Arial"/>
                <w:b/>
                <w:szCs w:val="22"/>
                <w:lang w:val="en-US" w:eastAsia="en-AU"/>
              </w:rPr>
            </w:pPr>
            <w:r w:rsidRPr="008F74B7">
              <w:rPr>
                <w:rFonts w:ascii="Arial" w:hAnsi="Arial" w:cs="Arial"/>
                <w:b/>
                <w:szCs w:val="22"/>
                <w:lang w:val="en-US" w:eastAsia="en-AU"/>
              </w:rPr>
              <w:t>Amendment(s)</w:t>
            </w:r>
          </w:p>
        </w:tc>
      </w:tr>
      <w:tr w:rsidR="005718C7" w:rsidRPr="008F74B7" w14:paraId="1AFA2423" w14:textId="77777777" w:rsidTr="00E45B1E">
        <w:tc>
          <w:tcPr>
            <w:tcW w:w="2977" w:type="dxa"/>
          </w:tcPr>
          <w:p w14:paraId="4E67B4C1" w14:textId="77777777" w:rsidR="005718C7" w:rsidRPr="008F74B7" w:rsidRDefault="005718C7" w:rsidP="00E45B1E">
            <w:pPr>
              <w:spacing w:after="220"/>
              <w:ind w:left="851"/>
              <w:jc w:val="left"/>
              <w:rPr>
                <w:rFonts w:ascii="Arial" w:hAnsi="Arial" w:cs="Arial"/>
                <w:szCs w:val="22"/>
                <w:lang w:val="en-US" w:eastAsia="en-AU"/>
              </w:rPr>
            </w:pPr>
            <w:r w:rsidRPr="008F74B7">
              <w:rPr>
                <w:rFonts w:ascii="Arial" w:hAnsi="Arial" w:cs="Arial"/>
                <w:szCs w:val="22"/>
                <w:lang w:val="en-US" w:eastAsia="en-AU"/>
              </w:rPr>
              <w:t>All</w:t>
            </w:r>
          </w:p>
        </w:tc>
        <w:tc>
          <w:tcPr>
            <w:tcW w:w="4677" w:type="dxa"/>
          </w:tcPr>
          <w:p w14:paraId="7B8E3E54" w14:textId="77777777" w:rsidR="005718C7" w:rsidRPr="008F74B7" w:rsidRDefault="005718C7" w:rsidP="00E45B1E">
            <w:pPr>
              <w:tabs>
                <w:tab w:val="left" w:pos="1080"/>
                <w:tab w:val="left" w:pos="1276"/>
              </w:tabs>
              <w:spacing w:after="220"/>
              <w:ind w:left="851"/>
              <w:jc w:val="left"/>
              <w:rPr>
                <w:rFonts w:ascii="Arial" w:hAnsi="Arial" w:cs="Arial"/>
                <w:szCs w:val="22"/>
                <w:lang w:val="en-US" w:eastAsia="en-AU"/>
              </w:rPr>
            </w:pPr>
            <w:r w:rsidRPr="008F74B7">
              <w:rPr>
                <w:rFonts w:ascii="Arial" w:hAnsi="Arial" w:cs="Arial"/>
                <w:szCs w:val="22"/>
                <w:lang w:val="en-US" w:eastAsia="en-AU"/>
              </w:rPr>
              <w:t>New issue on establishment of APAC.  Document based upon APLAC SEC 063 Issue No 1</w:t>
            </w:r>
            <w:r>
              <w:rPr>
                <w:rFonts w:ascii="Arial" w:hAnsi="Arial" w:cs="Arial"/>
                <w:szCs w:val="22"/>
                <w:lang w:val="en-US" w:eastAsia="en-AU"/>
              </w:rPr>
              <w:t xml:space="preserve"> and PAC EXEC 005</w:t>
            </w:r>
            <w:r w:rsidRPr="008F74B7">
              <w:rPr>
                <w:rFonts w:ascii="Arial" w:hAnsi="Arial" w:cs="Arial"/>
                <w:szCs w:val="22"/>
                <w:lang w:val="en-US" w:eastAsia="en-AU"/>
              </w:rPr>
              <w:t>.</w:t>
            </w:r>
          </w:p>
        </w:tc>
      </w:tr>
      <w:tr w:rsidR="005718C7" w:rsidRPr="008F74B7" w14:paraId="3237630D" w14:textId="77777777" w:rsidTr="00E45B1E">
        <w:tc>
          <w:tcPr>
            <w:tcW w:w="2977" w:type="dxa"/>
          </w:tcPr>
          <w:p w14:paraId="094923DE" w14:textId="77777777" w:rsidR="005718C7" w:rsidRPr="008F74B7" w:rsidRDefault="005718C7" w:rsidP="00E45B1E">
            <w:pPr>
              <w:tabs>
                <w:tab w:val="left" w:pos="1080"/>
                <w:tab w:val="left" w:pos="1276"/>
              </w:tabs>
              <w:spacing w:after="220"/>
              <w:ind w:left="851"/>
              <w:jc w:val="left"/>
              <w:rPr>
                <w:rFonts w:ascii="Arial" w:hAnsi="Arial" w:cs="Arial"/>
                <w:szCs w:val="22"/>
                <w:lang w:val="en-US" w:eastAsia="en-AU"/>
              </w:rPr>
            </w:pPr>
            <w:r w:rsidRPr="008F74B7">
              <w:rPr>
                <w:rFonts w:ascii="Arial" w:hAnsi="Arial" w:cs="Arial"/>
                <w:szCs w:val="22"/>
                <w:lang w:val="en-US" w:eastAsia="en-AU"/>
              </w:rPr>
              <w:t>End</w:t>
            </w:r>
          </w:p>
        </w:tc>
        <w:tc>
          <w:tcPr>
            <w:tcW w:w="4677" w:type="dxa"/>
          </w:tcPr>
          <w:p w14:paraId="55F1A442" w14:textId="77777777" w:rsidR="005718C7" w:rsidRPr="008F74B7" w:rsidRDefault="005718C7" w:rsidP="00E45B1E">
            <w:pPr>
              <w:tabs>
                <w:tab w:val="left" w:pos="1080"/>
                <w:tab w:val="left" w:pos="1276"/>
              </w:tabs>
              <w:spacing w:after="220"/>
              <w:ind w:left="851"/>
              <w:jc w:val="left"/>
              <w:rPr>
                <w:rFonts w:ascii="Arial" w:hAnsi="Arial" w:cs="Arial"/>
                <w:szCs w:val="22"/>
                <w:lang w:val="en-US" w:eastAsia="en-AU"/>
              </w:rPr>
            </w:pPr>
          </w:p>
        </w:tc>
      </w:tr>
    </w:tbl>
    <w:p w14:paraId="11DFB2DB" w14:textId="77777777" w:rsidR="005718C7" w:rsidRPr="008F74B7" w:rsidRDefault="005718C7" w:rsidP="005718C7">
      <w:pPr>
        <w:tabs>
          <w:tab w:val="left" w:pos="1080"/>
          <w:tab w:val="left" w:pos="1276"/>
        </w:tabs>
        <w:spacing w:after="220"/>
        <w:ind w:left="851"/>
        <w:jc w:val="left"/>
        <w:rPr>
          <w:rFonts w:ascii="Arial" w:eastAsia="Times New Roman" w:hAnsi="Arial" w:cs="Arial"/>
          <w:szCs w:val="22"/>
          <w:lang w:val="en-US" w:eastAsia="en-AU"/>
        </w:rPr>
      </w:pPr>
    </w:p>
    <w:p w14:paraId="4C3A4EA7" w14:textId="25FB8B97" w:rsidR="00100CEA" w:rsidRDefault="00100CEA" w:rsidP="005718C7">
      <w:pPr>
        <w:pStyle w:val="ITISHeading1"/>
        <w:numPr>
          <w:ilvl w:val="0"/>
          <w:numId w:val="0"/>
        </w:numPr>
        <w:ind w:left="851" w:hanging="851"/>
        <w:rPr>
          <w:rFonts w:eastAsia="Times New Roman"/>
          <w:szCs w:val="24"/>
          <w:lang w:eastAsia="en-AU"/>
        </w:rPr>
      </w:pPr>
    </w:p>
    <w:sectPr w:rsidR="00100CEA" w:rsidSect="00DF7B21">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720" w:right="1440" w:bottom="720" w:left="1440" w:header="283" w:footer="57"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7702FE" w:rsidRDefault="007702FE">
      <w:r>
        <w:separator/>
      </w:r>
    </w:p>
  </w:endnote>
  <w:endnote w:type="continuationSeparator" w:id="0">
    <w:p w14:paraId="00D49422" w14:textId="77777777" w:rsidR="007702FE" w:rsidRDefault="007702FE">
      <w:r>
        <w:continuationSeparator/>
      </w:r>
    </w:p>
  </w:endnote>
  <w:endnote w:type="continuationNotice" w:id="1">
    <w:p w14:paraId="17C97703" w14:textId="0214C26B" w:rsidR="007702FE" w:rsidRPr="00380812" w:rsidRDefault="007702FE">
      <w:pPr>
        <w:pStyle w:val="Footer"/>
        <w:jc w:val="right"/>
        <w:rPr>
          <w:sz w:val="20"/>
        </w:rPr>
      </w:pPr>
      <w:r>
        <w:rPr>
          <w:sz w:val="20"/>
          <w:lang w:eastAsia="en-AU"/>
        </w:rPr>
        <mc:AlternateContent>
          <mc:Choice Requires="wps">
            <w:drawing>
              <wp:anchor distT="0" distB="0" distL="114300" distR="114300" simplePos="0" relativeHeight="251658752"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EC0F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sidR="00691F66">
        <w:rPr>
          <w:b/>
          <w:sz w:val="20"/>
        </w:rPr>
        <w:t>1</w:t>
      </w:r>
      <w:r w:rsidRPr="00380812">
        <w:rPr>
          <w:b/>
          <w:sz w:val="20"/>
        </w:rPr>
        <w:fldChar w:fldCharType="end"/>
      </w:r>
    </w:p>
    <w:p w14:paraId="26E76F0E" w14:textId="77777777" w:rsidR="007702FE" w:rsidRPr="00CF2B53" w:rsidRDefault="007702F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E67F1D">
            <w:pPr>
              <w:pStyle w:val="Footer"/>
              <w:pBdr>
                <w:top w:val="single" w:sz="4" w:space="0"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3147"/>
              <w:gridCol w:w="3047"/>
            </w:tblGrid>
            <w:tr w:rsidR="006535D3" w14:paraId="587D9713" w14:textId="77777777" w:rsidTr="00A2607F">
              <w:tc>
                <w:tcPr>
                  <w:tcW w:w="4666" w:type="dxa"/>
                </w:tcPr>
                <w:p w14:paraId="1F9702BA" w14:textId="5C650EC4" w:rsidR="006535D3" w:rsidRDefault="006535D3" w:rsidP="00985DB4">
                  <w:pPr>
                    <w:pStyle w:val="Footer"/>
                    <w:tabs>
                      <w:tab w:val="clear" w:pos="4320"/>
                      <w:tab w:val="clear" w:pos="8640"/>
                    </w:tabs>
                    <w:jc w:val="left"/>
                    <w:rPr>
                      <w:sz w:val="20"/>
                    </w:rPr>
                  </w:pPr>
                  <w:r>
                    <w:rPr>
                      <w:sz w:val="20"/>
                    </w:rPr>
                    <w:t>Issue No:</w:t>
                  </w:r>
                  <w:r w:rsidR="00985DB4">
                    <w:rPr>
                      <w:sz w:val="20"/>
                    </w:rPr>
                    <w:tab/>
                    <w:t xml:space="preserve"> 1</w:t>
                  </w:r>
                  <w:r w:rsidR="00B34C7E">
                    <w:rPr>
                      <w:sz w:val="20"/>
                    </w:rPr>
                    <w:t xml:space="preserve"> (Ver 1.0)</w:t>
                  </w:r>
                </w:p>
              </w:tc>
              <w:tc>
                <w:tcPr>
                  <w:tcW w:w="4667" w:type="dxa"/>
                </w:tcPr>
                <w:p w14:paraId="7F504E9E" w14:textId="0542587C" w:rsidR="006535D3" w:rsidRDefault="006535D3" w:rsidP="006535D3">
                  <w:pPr>
                    <w:pStyle w:val="Footer"/>
                    <w:jc w:val="left"/>
                    <w:rPr>
                      <w:sz w:val="20"/>
                    </w:rPr>
                  </w:pPr>
                  <w:r>
                    <w:rPr>
                      <w:sz w:val="20"/>
                    </w:rPr>
                    <w:t>Issue Date:</w:t>
                  </w:r>
                  <w:r w:rsidR="00985DB4">
                    <w:rPr>
                      <w:sz w:val="20"/>
                    </w:rPr>
                    <w:t xml:space="preserve"> 1 January 2019</w:t>
                  </w:r>
                </w:p>
              </w:tc>
              <w:tc>
                <w:tcPr>
                  <w:tcW w:w="4667" w:type="dxa"/>
                </w:tcPr>
                <w:p w14:paraId="46E4F451" w14:textId="1C6E230C" w:rsidR="006535D3" w:rsidRDefault="006535D3"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0245D">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0245D">
                    <w:rPr>
                      <w:b/>
                      <w:bCs/>
                      <w:sz w:val="20"/>
                    </w:rPr>
                    <w:t>3</w:t>
                  </w:r>
                  <w:r w:rsidRPr="00ED2809">
                    <w:rPr>
                      <w:b/>
                      <w:bCs/>
                      <w:sz w:val="20"/>
                    </w:rPr>
                    <w:fldChar w:fldCharType="end"/>
                  </w:r>
                </w:p>
              </w:tc>
            </w:tr>
            <w:tr w:rsidR="00A2607F" w14:paraId="0CE8600C" w14:textId="77777777" w:rsidTr="00A2607F">
              <w:tc>
                <w:tcPr>
                  <w:tcW w:w="4666" w:type="dxa"/>
                </w:tcPr>
                <w:p w14:paraId="5EA12198" w14:textId="77777777" w:rsidR="00A2607F" w:rsidRDefault="00A2607F" w:rsidP="006535D3">
                  <w:pPr>
                    <w:pStyle w:val="Footer"/>
                    <w:jc w:val="left"/>
                    <w:rPr>
                      <w:sz w:val="20"/>
                    </w:rPr>
                  </w:pPr>
                </w:p>
              </w:tc>
              <w:tc>
                <w:tcPr>
                  <w:tcW w:w="4667" w:type="dxa"/>
                </w:tcPr>
                <w:p w14:paraId="6692A087" w14:textId="77777777" w:rsidR="00A2607F" w:rsidRDefault="00A2607F" w:rsidP="006535D3">
                  <w:pPr>
                    <w:pStyle w:val="Footer"/>
                    <w:jc w:val="left"/>
                    <w:rPr>
                      <w:sz w:val="20"/>
                    </w:rPr>
                  </w:pPr>
                </w:p>
              </w:tc>
              <w:tc>
                <w:tcPr>
                  <w:tcW w:w="4667" w:type="dxa"/>
                </w:tcPr>
                <w:p w14:paraId="222552DB" w14:textId="77777777" w:rsidR="00A2607F" w:rsidRPr="00ED2809" w:rsidRDefault="00A2607F" w:rsidP="006535D3">
                  <w:pPr>
                    <w:pStyle w:val="Footer"/>
                    <w:jc w:val="right"/>
                    <w:rPr>
                      <w:sz w:val="20"/>
                    </w:rPr>
                  </w:pPr>
                </w:p>
              </w:tc>
            </w:tr>
          </w:tbl>
          <w:p w14:paraId="2EC57C7B" w14:textId="5871E4B3" w:rsidR="00004315" w:rsidRPr="00ED2809" w:rsidRDefault="00B34C7E"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FB17830"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91F66">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7702FE" w:rsidRDefault="007702FE">
      <w:r>
        <w:separator/>
      </w:r>
    </w:p>
  </w:footnote>
  <w:footnote w:type="continuationSeparator" w:id="0">
    <w:p w14:paraId="64BE9095" w14:textId="77777777" w:rsidR="007702FE" w:rsidRDefault="0077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3BE66DCA" w:rsidR="00004315" w:rsidRDefault="00004315" w:rsidP="00621D8E">
    <w:pPr>
      <w:pStyle w:val="CoverPartyNames"/>
      <w:jc w:val="center"/>
    </w:pPr>
    <w:r w:rsidRPr="00F13E10">
      <w:rPr>
        <w:i/>
        <w:color w:val="365F91" w:themeColor="accent1" w:themeShade="BF"/>
        <w:sz w:val="24"/>
        <w:szCs w:val="24"/>
      </w:rPr>
      <w:t xml:space="preserve">APAC </w:t>
    </w:r>
    <w:r w:rsidR="00621D8E">
      <w:rPr>
        <w:i/>
        <w:color w:val="365F91" w:themeColor="accent1" w:themeShade="BF"/>
        <w:sz w:val="24"/>
        <w:szCs w:val="24"/>
      </w:rPr>
      <w:t>F</w:t>
    </w:r>
    <w:r w:rsidR="008241E2">
      <w:rPr>
        <w:i/>
        <w:color w:val="365F91" w:themeColor="accent1" w:themeShade="BF"/>
        <w:sz w:val="24"/>
        <w:szCs w:val="24"/>
      </w:rPr>
      <w:t>PER</w:t>
    </w:r>
    <w:r w:rsidR="00621D8E">
      <w:rPr>
        <w:i/>
        <w:color w:val="365F91" w:themeColor="accent1" w:themeShade="BF"/>
        <w:sz w:val="24"/>
        <w:szCs w:val="24"/>
      </w:rPr>
      <w:t>-00</w:t>
    </w:r>
    <w:r w:rsidR="005718C7">
      <w:rPr>
        <w:i/>
        <w:color w:val="365F91" w:themeColor="accent1" w:themeShade="BF"/>
        <w:sz w:val="24"/>
        <w:szCs w:val="24"/>
      </w:rPr>
      <w:t>5</w:t>
    </w:r>
    <w:r w:rsidR="001A260C">
      <w:rPr>
        <w:i/>
        <w:color w:val="365F91" w:themeColor="accent1" w:themeShade="BF"/>
        <w:sz w:val="24"/>
        <w:szCs w:val="24"/>
      </w:rPr>
      <w:t xml:space="preserve"> </w:t>
    </w:r>
    <w:r w:rsidR="008241E2">
      <w:rPr>
        <w:i/>
        <w:color w:val="365F91" w:themeColor="accent1" w:themeShade="BF"/>
        <w:sz w:val="24"/>
        <w:szCs w:val="24"/>
      </w:rPr>
      <w:t xml:space="preserve">Position Description </w:t>
    </w:r>
    <w:r w:rsidR="00EA1BB1">
      <w:rPr>
        <w:i/>
        <w:color w:val="365F91" w:themeColor="accent1" w:themeShade="BF"/>
        <w:sz w:val="24"/>
        <w:szCs w:val="24"/>
      </w:rPr>
      <w:t xml:space="preserve">APAC </w:t>
    </w:r>
    <w:r w:rsidR="005718C7">
      <w:rPr>
        <w:i/>
        <w:color w:val="365F91" w:themeColor="accent1" w:themeShade="BF"/>
        <w:sz w:val="24"/>
        <w:szCs w:val="24"/>
      </w:rPr>
      <w:t>Quality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7" w:name="_Hlk491774868"/>
    <w:r w:rsidRPr="007C3199">
      <w:rPr>
        <w:b/>
        <w:color w:val="365F91" w:themeColor="accent1" w:themeShade="BF"/>
      </w:rPr>
      <w:t>APAC</w:t>
    </w:r>
    <w:r>
      <w:rPr>
        <w:color w:val="365F91" w:themeColor="accent1" w:themeShade="BF"/>
      </w:rPr>
      <w:t xml:space="preserve"> XXX</w:t>
    </w:r>
  </w:p>
  <w:bookmarkEnd w:id="7"/>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9FA5E7F"/>
    <w:multiLevelType w:val="singleLevel"/>
    <w:tmpl w:val="5B1CBD10"/>
    <w:lvl w:ilvl="0">
      <w:start w:val="2"/>
      <w:numFmt w:val="decimal"/>
      <w:pStyle w:val="HEADING"/>
      <w:lvlText w:val="%1."/>
      <w:lvlJc w:val="left"/>
      <w:pPr>
        <w:tabs>
          <w:tab w:val="num" w:pos="720"/>
        </w:tabs>
        <w:ind w:left="720" w:hanging="720"/>
      </w:pPr>
      <w:rPr>
        <w:rFonts w:hint="default"/>
        <w:b w:val="0"/>
        <w:i w:val="0"/>
      </w:rPr>
    </w:lvl>
  </w:abstractNum>
  <w:abstractNum w:abstractNumId="3" w15:restartNumberingAfterBreak="0">
    <w:nsid w:val="0BD93AE1"/>
    <w:multiLevelType w:val="hybridMultilevel"/>
    <w:tmpl w:val="0B786D6C"/>
    <w:lvl w:ilvl="0" w:tplc="BAE68E56">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A5823DB"/>
    <w:multiLevelType w:val="hybridMultilevel"/>
    <w:tmpl w:val="7A766A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E9958AE"/>
    <w:multiLevelType w:val="hybridMultilevel"/>
    <w:tmpl w:val="AB2AD3EA"/>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0E7464"/>
    <w:multiLevelType w:val="hybridMultilevel"/>
    <w:tmpl w:val="D81E84E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6"/>
  </w:num>
  <w:num w:numId="3">
    <w:abstractNumId w:val="9"/>
  </w:num>
  <w:num w:numId="4">
    <w:abstractNumId w:val="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9"/>
  </w:num>
  <w:num w:numId="81">
    <w:abstractNumId w:val="9"/>
  </w:num>
  <w:num w:numId="82">
    <w:abstractNumId w:val="9"/>
  </w:num>
  <w:num w:numId="83">
    <w:abstractNumId w:val="9"/>
  </w:num>
  <w:num w:numId="84">
    <w:abstractNumId w:val="9"/>
  </w:num>
  <w:num w:numId="85">
    <w:abstractNumId w:val="9"/>
  </w:num>
  <w:num w:numId="86">
    <w:abstractNumId w:val="9"/>
  </w:num>
  <w:num w:numId="87">
    <w:abstractNumId w:val="9"/>
  </w:num>
  <w:num w:numId="88">
    <w:abstractNumId w:val="9"/>
  </w:num>
  <w:num w:numId="89">
    <w:abstractNumId w:val="9"/>
  </w:num>
  <w:num w:numId="90">
    <w:abstractNumId w:val="9"/>
  </w:num>
  <w:num w:numId="91">
    <w:abstractNumId w:val="9"/>
  </w:num>
  <w:num w:numId="92">
    <w:abstractNumId w:val="9"/>
  </w:num>
  <w:num w:numId="93">
    <w:abstractNumId w:val="9"/>
  </w:num>
  <w:num w:numId="94">
    <w:abstractNumId w:val="9"/>
  </w:num>
  <w:num w:numId="95">
    <w:abstractNumId w:val="9"/>
  </w:num>
  <w:num w:numId="96">
    <w:abstractNumId w:val="9"/>
  </w:num>
  <w:num w:numId="97">
    <w:abstractNumId w:val="9"/>
  </w:num>
  <w:num w:numId="98">
    <w:abstractNumId w:val="9"/>
  </w:num>
  <w:num w:numId="99">
    <w:abstractNumId w:val="9"/>
  </w:num>
  <w:num w:numId="100">
    <w:abstractNumId w:val="9"/>
  </w:num>
  <w:num w:numId="101">
    <w:abstractNumId w:val="9"/>
  </w:num>
  <w:num w:numId="102">
    <w:abstractNumId w:val="9"/>
  </w:num>
  <w:num w:numId="103">
    <w:abstractNumId w:val="9"/>
  </w:num>
  <w:num w:numId="104">
    <w:abstractNumId w:val="9"/>
  </w:num>
  <w:num w:numId="105">
    <w:abstractNumId w:val="9"/>
  </w:num>
  <w:num w:numId="106">
    <w:abstractNumId w:val="9"/>
  </w:num>
  <w:num w:numId="107">
    <w:abstractNumId w:val="9"/>
  </w:num>
  <w:num w:numId="108">
    <w:abstractNumId w:val="9"/>
  </w:num>
  <w:num w:numId="109">
    <w:abstractNumId w:val="9"/>
  </w:num>
  <w:num w:numId="110">
    <w:abstractNumId w:val="9"/>
  </w:num>
  <w:num w:numId="111">
    <w:abstractNumId w:val="9"/>
  </w:num>
  <w:num w:numId="112">
    <w:abstractNumId w:val="9"/>
  </w:num>
  <w:num w:numId="113">
    <w:abstractNumId w:val="9"/>
  </w:num>
  <w:num w:numId="114">
    <w:abstractNumId w:val="9"/>
  </w:num>
  <w:num w:numId="115">
    <w:abstractNumId w:val="9"/>
  </w:num>
  <w:num w:numId="116">
    <w:abstractNumId w:val="9"/>
  </w:num>
  <w:num w:numId="117">
    <w:abstractNumId w:val="9"/>
  </w:num>
  <w:num w:numId="118">
    <w:abstractNumId w:val="9"/>
  </w:num>
  <w:num w:numId="119">
    <w:abstractNumId w:val="9"/>
  </w:num>
  <w:num w:numId="120">
    <w:abstractNumId w:val="9"/>
  </w:num>
  <w:num w:numId="121">
    <w:abstractNumId w:val="9"/>
  </w:num>
  <w:num w:numId="122">
    <w:abstractNumId w:val="9"/>
  </w:num>
  <w:num w:numId="123">
    <w:abstractNumId w:val="9"/>
  </w:num>
  <w:num w:numId="124">
    <w:abstractNumId w:val="9"/>
  </w:num>
  <w:num w:numId="125">
    <w:abstractNumId w:val="9"/>
  </w:num>
  <w:num w:numId="126">
    <w:abstractNumId w:val="9"/>
  </w:num>
  <w:num w:numId="127">
    <w:abstractNumId w:val="9"/>
  </w:num>
  <w:num w:numId="128">
    <w:abstractNumId w:val="9"/>
  </w:num>
  <w:num w:numId="129">
    <w:abstractNumId w:val="9"/>
  </w:num>
  <w:num w:numId="130">
    <w:abstractNumId w:val="9"/>
  </w:num>
  <w:num w:numId="131">
    <w:abstractNumId w:val="9"/>
  </w:num>
  <w:num w:numId="132">
    <w:abstractNumId w:val="9"/>
  </w:num>
  <w:num w:numId="133">
    <w:abstractNumId w:val="9"/>
  </w:num>
  <w:num w:numId="134">
    <w:abstractNumId w:val="9"/>
  </w:num>
  <w:num w:numId="135">
    <w:abstractNumId w:val="9"/>
  </w:num>
  <w:num w:numId="136">
    <w:abstractNumId w:val="9"/>
  </w:num>
  <w:num w:numId="137">
    <w:abstractNumId w:val="9"/>
  </w:num>
  <w:num w:numId="138">
    <w:abstractNumId w:val="9"/>
  </w:num>
  <w:num w:numId="139">
    <w:abstractNumId w:val="9"/>
  </w:num>
  <w:num w:numId="140">
    <w:abstractNumId w:val="9"/>
  </w:num>
  <w:num w:numId="141">
    <w:abstractNumId w:val="9"/>
  </w:num>
  <w:num w:numId="142">
    <w:abstractNumId w:val="9"/>
  </w:num>
  <w:num w:numId="143">
    <w:abstractNumId w:val="9"/>
  </w:num>
  <w:num w:numId="144">
    <w:abstractNumId w:val="9"/>
  </w:num>
  <w:num w:numId="145">
    <w:abstractNumId w:val="9"/>
  </w:num>
  <w:num w:numId="146">
    <w:abstractNumId w:val="9"/>
  </w:num>
  <w:num w:numId="147">
    <w:abstractNumId w:val="9"/>
  </w:num>
  <w:num w:numId="148">
    <w:abstractNumId w:val="9"/>
  </w:num>
  <w:num w:numId="149">
    <w:abstractNumId w:val="9"/>
  </w:num>
  <w:num w:numId="150">
    <w:abstractNumId w:val="9"/>
  </w:num>
  <w:num w:numId="151">
    <w:abstractNumId w:val="9"/>
  </w:num>
  <w:num w:numId="152">
    <w:abstractNumId w:val="9"/>
  </w:num>
  <w:num w:numId="153">
    <w:abstractNumId w:val="9"/>
  </w:num>
  <w:num w:numId="154">
    <w:abstractNumId w:val="9"/>
  </w:num>
  <w:num w:numId="155">
    <w:abstractNumId w:val="9"/>
  </w:num>
  <w:num w:numId="156">
    <w:abstractNumId w:val="9"/>
  </w:num>
  <w:num w:numId="157">
    <w:abstractNumId w:val="9"/>
  </w:num>
  <w:num w:numId="158">
    <w:abstractNumId w:val="9"/>
  </w:num>
  <w:num w:numId="159">
    <w:abstractNumId w:val="9"/>
  </w:num>
  <w:num w:numId="160">
    <w:abstractNumId w:val="9"/>
  </w:num>
  <w:num w:numId="161">
    <w:abstractNumId w:val="9"/>
  </w:num>
  <w:num w:numId="162">
    <w:abstractNumId w:val="9"/>
  </w:num>
  <w:num w:numId="163">
    <w:abstractNumId w:val="9"/>
  </w:num>
  <w:num w:numId="164">
    <w:abstractNumId w:val="9"/>
  </w:num>
  <w:num w:numId="165">
    <w:abstractNumId w:val="9"/>
  </w:num>
  <w:num w:numId="166">
    <w:abstractNumId w:val="9"/>
  </w:num>
  <w:num w:numId="167">
    <w:abstractNumId w:val="9"/>
  </w:num>
  <w:num w:numId="168">
    <w:abstractNumId w:val="9"/>
  </w:num>
  <w:num w:numId="169">
    <w:abstractNumId w:val="9"/>
  </w:num>
  <w:num w:numId="170">
    <w:abstractNumId w:val="9"/>
  </w:num>
  <w:num w:numId="171">
    <w:abstractNumId w:val="9"/>
  </w:num>
  <w:num w:numId="172">
    <w:abstractNumId w:val="11"/>
  </w:num>
  <w:num w:numId="173">
    <w:abstractNumId w:val="9"/>
  </w:num>
  <w:num w:numId="174">
    <w:abstractNumId w:val="9"/>
  </w:num>
  <w:num w:numId="175">
    <w:abstractNumId w:val="9"/>
  </w:num>
  <w:num w:numId="176">
    <w:abstractNumId w:val="9"/>
  </w:num>
  <w:num w:numId="177">
    <w:abstractNumId w:val="9"/>
  </w:num>
  <w:num w:numId="178">
    <w:abstractNumId w:val="9"/>
  </w:num>
  <w:num w:numId="179">
    <w:abstractNumId w:val="9"/>
  </w:num>
  <w:num w:numId="180">
    <w:abstractNumId w:val="4"/>
  </w:num>
  <w:num w:numId="181">
    <w:abstractNumId w:val="3"/>
  </w:num>
  <w:num w:numId="182">
    <w:abstractNumId w:val="12"/>
  </w:num>
  <w:num w:numId="183">
    <w:abstractNumId w:val="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5EE9"/>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133"/>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687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45D"/>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844"/>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18C7"/>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4968"/>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1F66"/>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EE5"/>
    <w:rsid w:val="00812110"/>
    <w:rsid w:val="00814D49"/>
    <w:rsid w:val="0081509B"/>
    <w:rsid w:val="008162DE"/>
    <w:rsid w:val="008211C4"/>
    <w:rsid w:val="00821BAD"/>
    <w:rsid w:val="008241E2"/>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5E4A"/>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75A"/>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4C7E"/>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DF7B21"/>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F1D"/>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B1"/>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link w:val="HeaderChar"/>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BB1"/>
    <w:rPr>
      <w:rFonts w:ascii="Calibri" w:eastAsia="PMingLiU"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BB1"/>
    <w:pPr>
      <w:ind w:left="720"/>
      <w:contextualSpacing/>
    </w:pPr>
  </w:style>
  <w:style w:type="character" w:customStyle="1" w:styleId="HeaderChar">
    <w:name w:val="Header Char"/>
    <w:basedOn w:val="DefaultParagraphFont"/>
    <w:link w:val="Header"/>
    <w:rsid w:val="005718C7"/>
    <w:rPr>
      <w:sz w:val="22"/>
      <w:lang w:eastAsia="en-US"/>
    </w:rPr>
  </w:style>
  <w:style w:type="table" w:customStyle="1" w:styleId="TableGrid3">
    <w:name w:val="Table Grid3"/>
    <w:basedOn w:val="TableNormal"/>
    <w:next w:val="TableGrid"/>
    <w:uiPriority w:val="59"/>
    <w:rsid w:val="00571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ITISHeading1"/>
    <w:link w:val="HEADINGChar"/>
    <w:qFormat/>
    <w:rsid w:val="005718C7"/>
    <w:pPr>
      <w:numPr>
        <w:numId w:val="1"/>
      </w:numPr>
    </w:pPr>
    <w:rPr>
      <w:szCs w:val="22"/>
    </w:rPr>
  </w:style>
  <w:style w:type="character" w:customStyle="1" w:styleId="HEADINGChar">
    <w:name w:val="HEADING Char"/>
    <w:basedOn w:val="DefaultParagraphFont"/>
    <w:link w:val="HEADING"/>
    <w:rsid w:val="005718C7"/>
    <w:rPr>
      <w:rFonts w:ascii="Arial" w:hAnsi="Arial" w:cs="Arial"/>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E1586-B6E0-45EE-8ECA-6240E6A2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2018-11-15T05:31:00Z</dcterms:created>
  <dcterms:modified xsi:type="dcterms:W3CDTF">2018-11-15T05:32:00Z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