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1040"/>
        <w:gridCol w:w="7976"/>
      </w:tblGrid>
      <w:tr w:rsidR="007F62C0" w:rsidRPr="00714C84" w14:paraId="151FD81A" w14:textId="77777777" w:rsidTr="007F62C0">
        <w:tc>
          <w:tcPr>
            <w:tcW w:w="577" w:type="pct"/>
            <w:tcBorders>
              <w:top w:val="single" w:sz="4" w:space="0" w:color="auto"/>
              <w:left w:val="single" w:sz="4" w:space="0" w:color="auto"/>
              <w:bottom w:val="single" w:sz="4" w:space="0" w:color="auto"/>
              <w:right w:val="single" w:sz="4" w:space="0" w:color="auto"/>
            </w:tcBorders>
            <w:vAlign w:val="center"/>
          </w:tcPr>
          <w:p w14:paraId="68A994C6" w14:textId="77777777" w:rsidR="007F62C0" w:rsidRPr="00714C84" w:rsidRDefault="00714C84" w:rsidP="001D7D1B">
            <w:pPr>
              <w:contextualSpacing/>
              <w:rPr>
                <w:rFonts w:ascii="Calibri" w:hAnsi="Calibri"/>
                <w:b/>
              </w:rPr>
            </w:pPr>
            <w:r>
              <w:rPr>
                <w:rFonts w:ascii="Calibri" w:hAnsi="Calibri"/>
                <w:b/>
              </w:rPr>
              <w:t>Subject:</w:t>
            </w:r>
          </w:p>
        </w:tc>
        <w:tc>
          <w:tcPr>
            <w:tcW w:w="4423" w:type="pct"/>
            <w:tcBorders>
              <w:top w:val="single" w:sz="4" w:space="0" w:color="auto"/>
              <w:left w:val="single" w:sz="4" w:space="0" w:color="auto"/>
              <w:bottom w:val="single" w:sz="4" w:space="0" w:color="auto"/>
              <w:right w:val="single" w:sz="4" w:space="0" w:color="auto"/>
            </w:tcBorders>
            <w:vAlign w:val="center"/>
          </w:tcPr>
          <w:p w14:paraId="4CBD4C2A" w14:textId="7F013D78" w:rsidR="007F62C0" w:rsidRPr="00714C84" w:rsidRDefault="00064A27" w:rsidP="001D7D1B">
            <w:pPr>
              <w:contextualSpacing/>
              <w:rPr>
                <w:rFonts w:ascii="Calibri" w:hAnsi="Calibri"/>
              </w:rPr>
            </w:pPr>
            <w:r>
              <w:rPr>
                <w:rFonts w:ascii="Calibri" w:hAnsi="Calibri"/>
              </w:rPr>
              <w:t>ISO/IEC 17011:</w:t>
            </w:r>
            <w:r w:rsidRPr="00B27F68">
              <w:rPr>
                <w:rFonts w:ascii="Calibri" w:hAnsi="Calibri"/>
                <w:b/>
              </w:rPr>
              <w:t>2017</w:t>
            </w:r>
            <w:r>
              <w:rPr>
                <w:rFonts w:ascii="Calibri" w:hAnsi="Calibri"/>
              </w:rPr>
              <w:t xml:space="preserve"> Transition</w:t>
            </w:r>
          </w:p>
        </w:tc>
      </w:tr>
      <w:tr w:rsidR="007F62C0" w:rsidRPr="00714C84" w14:paraId="56C6B757" w14:textId="77777777" w:rsidTr="007F62C0">
        <w:tc>
          <w:tcPr>
            <w:tcW w:w="577" w:type="pct"/>
            <w:tcBorders>
              <w:top w:val="single" w:sz="4" w:space="0" w:color="auto"/>
              <w:left w:val="single" w:sz="4" w:space="0" w:color="auto"/>
              <w:bottom w:val="single" w:sz="4" w:space="0" w:color="auto"/>
              <w:right w:val="single" w:sz="4" w:space="0" w:color="auto"/>
            </w:tcBorders>
            <w:vAlign w:val="center"/>
          </w:tcPr>
          <w:p w14:paraId="01B2260E" w14:textId="77777777" w:rsidR="007F62C0" w:rsidRPr="00714C84" w:rsidRDefault="007F62C0" w:rsidP="001D7D1B">
            <w:pPr>
              <w:contextualSpacing/>
              <w:rPr>
                <w:rFonts w:ascii="Calibri" w:hAnsi="Calibri"/>
                <w:b/>
              </w:rPr>
            </w:pPr>
            <w:r w:rsidRPr="00714C84">
              <w:rPr>
                <w:rFonts w:ascii="Calibri" w:hAnsi="Calibri"/>
                <w:b/>
              </w:rPr>
              <w:t>From:</w:t>
            </w:r>
          </w:p>
        </w:tc>
        <w:tc>
          <w:tcPr>
            <w:tcW w:w="4423" w:type="pct"/>
            <w:tcBorders>
              <w:top w:val="single" w:sz="4" w:space="0" w:color="auto"/>
              <w:left w:val="single" w:sz="4" w:space="0" w:color="auto"/>
              <w:bottom w:val="single" w:sz="4" w:space="0" w:color="auto"/>
              <w:right w:val="single" w:sz="4" w:space="0" w:color="auto"/>
            </w:tcBorders>
            <w:vAlign w:val="center"/>
          </w:tcPr>
          <w:p w14:paraId="2A6A9AF0" w14:textId="13D76225" w:rsidR="007F62C0" w:rsidRPr="00714C84" w:rsidRDefault="00BB78AE" w:rsidP="001D7D1B">
            <w:pPr>
              <w:contextualSpacing/>
              <w:rPr>
                <w:rFonts w:ascii="Calibri" w:hAnsi="Calibri"/>
              </w:rPr>
            </w:pPr>
            <w:r>
              <w:rPr>
                <w:rFonts w:ascii="Calibri" w:hAnsi="Calibri"/>
              </w:rPr>
              <w:t>Azusa Nakagawa / Llew Richards, APAC MRA Council Co-Chairs</w:t>
            </w:r>
          </w:p>
        </w:tc>
      </w:tr>
      <w:tr w:rsidR="007F62C0" w:rsidRPr="00714C84" w14:paraId="1F219F8B" w14:textId="77777777" w:rsidTr="007F62C0">
        <w:tc>
          <w:tcPr>
            <w:tcW w:w="577" w:type="pct"/>
            <w:tcBorders>
              <w:top w:val="single" w:sz="4" w:space="0" w:color="auto"/>
              <w:left w:val="single" w:sz="4" w:space="0" w:color="auto"/>
              <w:bottom w:val="single" w:sz="4" w:space="0" w:color="auto"/>
              <w:right w:val="single" w:sz="4" w:space="0" w:color="auto"/>
            </w:tcBorders>
            <w:vAlign w:val="center"/>
          </w:tcPr>
          <w:p w14:paraId="20746065" w14:textId="77777777" w:rsidR="007F62C0" w:rsidRPr="00714C84" w:rsidRDefault="007F62C0" w:rsidP="001D7D1B">
            <w:pPr>
              <w:contextualSpacing/>
              <w:rPr>
                <w:rFonts w:ascii="Calibri" w:hAnsi="Calibri"/>
                <w:b/>
              </w:rPr>
            </w:pPr>
            <w:r w:rsidRPr="00714C84">
              <w:rPr>
                <w:rFonts w:ascii="Calibri" w:hAnsi="Calibri"/>
                <w:b/>
              </w:rPr>
              <w:t>Date:</w:t>
            </w:r>
          </w:p>
        </w:tc>
        <w:tc>
          <w:tcPr>
            <w:tcW w:w="4423" w:type="pct"/>
            <w:tcBorders>
              <w:top w:val="single" w:sz="4" w:space="0" w:color="auto"/>
              <w:left w:val="single" w:sz="4" w:space="0" w:color="auto"/>
              <w:bottom w:val="single" w:sz="4" w:space="0" w:color="auto"/>
              <w:right w:val="single" w:sz="4" w:space="0" w:color="auto"/>
            </w:tcBorders>
            <w:vAlign w:val="center"/>
          </w:tcPr>
          <w:p w14:paraId="2BA2C9BA" w14:textId="028C510B" w:rsidR="007F62C0" w:rsidRPr="00714C84" w:rsidRDefault="006A4C79" w:rsidP="001D7D1B">
            <w:pPr>
              <w:contextualSpacing/>
              <w:rPr>
                <w:rFonts w:ascii="Calibri" w:hAnsi="Calibri"/>
              </w:rPr>
            </w:pPr>
            <w:r>
              <w:rPr>
                <w:rFonts w:ascii="Calibri" w:hAnsi="Calibri"/>
              </w:rPr>
              <w:t>22 May 2019</w:t>
            </w:r>
          </w:p>
        </w:tc>
      </w:tr>
      <w:tr w:rsidR="003D23D5" w:rsidRPr="00714C84" w14:paraId="5C51E81C" w14:textId="77777777" w:rsidTr="007F62C0">
        <w:tc>
          <w:tcPr>
            <w:tcW w:w="577" w:type="pct"/>
            <w:tcBorders>
              <w:top w:val="single" w:sz="4" w:space="0" w:color="auto"/>
              <w:left w:val="single" w:sz="4" w:space="0" w:color="auto"/>
              <w:bottom w:val="single" w:sz="4" w:space="0" w:color="auto"/>
              <w:right w:val="single" w:sz="4" w:space="0" w:color="auto"/>
            </w:tcBorders>
            <w:vAlign w:val="center"/>
          </w:tcPr>
          <w:p w14:paraId="67F24919" w14:textId="77777777" w:rsidR="003D23D5" w:rsidRPr="00714C84" w:rsidRDefault="007F62C0" w:rsidP="001D7D1B">
            <w:pPr>
              <w:contextualSpacing/>
              <w:rPr>
                <w:rFonts w:ascii="Calibri" w:hAnsi="Calibri"/>
                <w:b/>
              </w:rPr>
            </w:pPr>
            <w:r w:rsidRPr="00714C84">
              <w:rPr>
                <w:rFonts w:ascii="Calibri" w:hAnsi="Calibri"/>
                <w:b/>
              </w:rPr>
              <w:t>Action:</w:t>
            </w:r>
          </w:p>
        </w:tc>
        <w:tc>
          <w:tcPr>
            <w:tcW w:w="4423" w:type="pct"/>
            <w:tcBorders>
              <w:top w:val="single" w:sz="4" w:space="0" w:color="auto"/>
              <w:left w:val="single" w:sz="4" w:space="0" w:color="auto"/>
              <w:bottom w:val="single" w:sz="4" w:space="0" w:color="auto"/>
              <w:right w:val="single" w:sz="4" w:space="0" w:color="auto"/>
            </w:tcBorders>
            <w:vAlign w:val="center"/>
          </w:tcPr>
          <w:p w14:paraId="6AD82C16" w14:textId="50D61F4C" w:rsidR="003102A7" w:rsidRDefault="007F62C0" w:rsidP="003102A7">
            <w:pPr>
              <w:contextualSpacing/>
              <w:jc w:val="left"/>
              <w:rPr>
                <w:rFonts w:ascii="Calibri" w:hAnsi="Calibri"/>
              </w:rPr>
            </w:pPr>
            <w:r w:rsidRPr="00714C84">
              <w:rPr>
                <w:rFonts w:ascii="Calibri" w:hAnsi="Calibri"/>
              </w:rPr>
              <w:t xml:space="preserve">For </w:t>
            </w:r>
            <w:r w:rsidR="00BB78AE">
              <w:rPr>
                <w:rFonts w:ascii="Calibri" w:hAnsi="Calibri"/>
              </w:rPr>
              <w:t>action</w:t>
            </w:r>
            <w:r w:rsidR="003102A7">
              <w:rPr>
                <w:rFonts w:ascii="Calibri" w:hAnsi="Calibri"/>
              </w:rPr>
              <w:t xml:space="preserve"> </w:t>
            </w:r>
            <w:r w:rsidR="00B27F68">
              <w:rPr>
                <w:rFonts w:ascii="Calibri" w:hAnsi="Calibri"/>
              </w:rPr>
              <w:t>by relevant accreditation bodies</w:t>
            </w:r>
          </w:p>
          <w:p w14:paraId="54EB275C" w14:textId="487B20CF" w:rsidR="003D23D5" w:rsidRPr="00714C84" w:rsidRDefault="003102A7" w:rsidP="003102A7">
            <w:pPr>
              <w:contextualSpacing/>
              <w:jc w:val="left"/>
              <w:rPr>
                <w:rFonts w:ascii="Calibri" w:hAnsi="Calibri"/>
              </w:rPr>
            </w:pPr>
            <w:r>
              <w:rPr>
                <w:rFonts w:ascii="Calibri" w:hAnsi="Calibri"/>
              </w:rPr>
              <w:t>(these instructions supersede all previous instructions from APLAC/PAC/APAC on how to demonstrate conformity with ISO/IEC 17011:</w:t>
            </w:r>
            <w:r w:rsidRPr="003102A7">
              <w:rPr>
                <w:rFonts w:ascii="Calibri" w:hAnsi="Calibri"/>
                <w:b/>
                <w:u w:val="single"/>
              </w:rPr>
              <w:t>2017</w:t>
            </w:r>
            <w:r>
              <w:rPr>
                <w:rFonts w:ascii="Calibri" w:hAnsi="Calibri"/>
              </w:rPr>
              <w:t xml:space="preserve"> prior to the transitional deadline in November 2020). </w:t>
            </w:r>
          </w:p>
        </w:tc>
      </w:tr>
    </w:tbl>
    <w:p w14:paraId="4D426565" w14:textId="77777777" w:rsidR="00E014E0" w:rsidRDefault="00E014E0" w:rsidP="007F62C0">
      <w:pPr>
        <w:rPr>
          <w:sz w:val="20"/>
          <w:szCs w:val="20"/>
        </w:rPr>
      </w:pPr>
    </w:p>
    <w:p w14:paraId="72438C56" w14:textId="77777777" w:rsidR="00064A27" w:rsidRDefault="00064A27" w:rsidP="007F62C0"/>
    <w:p w14:paraId="09BCE6B4" w14:textId="06CE2D76" w:rsidR="007F62C0" w:rsidRDefault="00064A27" w:rsidP="007F62C0">
      <w:r>
        <w:t xml:space="preserve">The </w:t>
      </w:r>
      <w:hyperlink r:id="rId8" w:tooltip="IAF/ILAC ISO/IEC 17011:2017 Transition Plan" w:history="1">
        <w:proofErr w:type="spellStart"/>
        <w:r w:rsidRPr="00064A27">
          <w:rPr>
            <w:rStyle w:val="Hyperlink"/>
          </w:rPr>
          <w:t>IAF</w:t>
        </w:r>
        <w:proofErr w:type="spellEnd"/>
        <w:r w:rsidRPr="00064A27">
          <w:rPr>
            <w:rStyle w:val="Hyperlink"/>
          </w:rPr>
          <w:t>/ILAC ISO/IEC 17011:2017 Transition Plan</w:t>
        </w:r>
      </w:hyperlink>
      <w:r w:rsidRPr="00064A27">
        <w:t xml:space="preserve"> </w:t>
      </w:r>
      <w:r>
        <w:t xml:space="preserve">sets the deadline for accreditation bodies to demonstrate conformity with ISO/IEC 17011:2017 </w:t>
      </w:r>
      <w:r w:rsidR="00BB78AE">
        <w:t xml:space="preserve">by </w:t>
      </w:r>
      <w:r>
        <w:t xml:space="preserve">November 2020.  </w:t>
      </w:r>
    </w:p>
    <w:p w14:paraId="657FD2DE" w14:textId="3B34F6D6" w:rsidR="00064A27" w:rsidRDefault="00064A27" w:rsidP="007F62C0"/>
    <w:p w14:paraId="6524893E" w14:textId="1FF8E679" w:rsidR="00064A27" w:rsidRDefault="00064A27" w:rsidP="00064A27">
      <w:r w:rsidRPr="00064A27">
        <w:t>Based on the table in Annex A</w:t>
      </w:r>
      <w:r w:rsidR="00B27F68">
        <w:t xml:space="preserve"> of this report</w:t>
      </w:r>
      <w:r>
        <w:t xml:space="preserve">, </w:t>
      </w:r>
      <w:r w:rsidRPr="00064A27">
        <w:t>APAC aim to have 2</w:t>
      </w:r>
      <w:r w:rsidR="00B27F68">
        <w:t>6</w:t>
      </w:r>
      <w:r w:rsidRPr="00064A27">
        <w:t xml:space="preserve"> of its </w:t>
      </w:r>
      <w:r>
        <w:t xml:space="preserve">APAC MRA </w:t>
      </w:r>
      <w:r w:rsidRPr="00064A27">
        <w:t>signatories transition</w:t>
      </w:r>
      <w:r>
        <w:t>ed by the deadline through the</w:t>
      </w:r>
      <w:r w:rsidRPr="00064A27">
        <w:t xml:space="preserve"> completion of</w:t>
      </w:r>
      <w:r>
        <w:t xml:space="preserve"> scheduled evaluations.</w:t>
      </w:r>
    </w:p>
    <w:p w14:paraId="0BF1AF03" w14:textId="51D3C9AD" w:rsidR="00064A27" w:rsidRDefault="00064A27" w:rsidP="00064A27"/>
    <w:p w14:paraId="44ECC58B" w14:textId="0C4FB865" w:rsidR="00064A27" w:rsidRDefault="00064A27" w:rsidP="00064A27">
      <w:r>
        <w:t xml:space="preserve">The remaining </w:t>
      </w:r>
      <w:r w:rsidR="00232EDF">
        <w:t>20</w:t>
      </w:r>
      <w:r>
        <w:t xml:space="preserve"> signatories will need to demonstrate conformity through an external documentation review that must be completed by November 2020.  The </w:t>
      </w:r>
      <w:proofErr w:type="spellStart"/>
      <w:r>
        <w:t>IAF</w:t>
      </w:r>
      <w:proofErr w:type="spellEnd"/>
      <w:r>
        <w:t>/ILAC Transition Plan states:</w:t>
      </w:r>
    </w:p>
    <w:p w14:paraId="1BC0646D" w14:textId="3ED97BCB" w:rsidR="00064A27" w:rsidRDefault="00064A27" w:rsidP="00064A27"/>
    <w:p w14:paraId="0743C432" w14:textId="77777777" w:rsidR="00064A27" w:rsidRPr="00064A27" w:rsidRDefault="00064A27" w:rsidP="00BB78AE">
      <w:pPr>
        <w:ind w:left="360"/>
        <w:rPr>
          <w:i/>
        </w:rPr>
      </w:pPr>
      <w:r w:rsidRPr="00064A27">
        <w:rPr>
          <w:i/>
        </w:rPr>
        <w:t>Document Review for the ABs that will NOT be evaluated during the transition period</w:t>
      </w:r>
    </w:p>
    <w:p w14:paraId="19A4A60F" w14:textId="77777777" w:rsidR="00064A27" w:rsidRDefault="00064A27" w:rsidP="00064A27">
      <w:pPr>
        <w:rPr>
          <w:i/>
        </w:rPr>
      </w:pPr>
    </w:p>
    <w:p w14:paraId="4DCA67AA" w14:textId="2325206D" w:rsidR="00064A27" w:rsidRPr="00BB78AE" w:rsidRDefault="00064A27" w:rsidP="00BB78AE">
      <w:pPr>
        <w:pStyle w:val="ListParagraph"/>
        <w:numPr>
          <w:ilvl w:val="0"/>
          <w:numId w:val="5"/>
        </w:numPr>
        <w:rPr>
          <w:i/>
        </w:rPr>
      </w:pPr>
      <w:r w:rsidRPr="00BB78AE">
        <w:rPr>
          <w:i/>
        </w:rPr>
        <w:t xml:space="preserve">All MRA/MLA signatories that are not peer evaluated to ISO/IEC 17011:2017 and their compliance confirmed by a decision making process prior to November 2020, must complete </w:t>
      </w:r>
      <w:proofErr w:type="spellStart"/>
      <w:r w:rsidRPr="00BB78AE">
        <w:rPr>
          <w:i/>
        </w:rPr>
        <w:t>IAF</w:t>
      </w:r>
      <w:proofErr w:type="spellEnd"/>
      <w:r w:rsidRPr="00BB78AE">
        <w:rPr>
          <w:i/>
        </w:rPr>
        <w:t xml:space="preserve">/ILAC </w:t>
      </w:r>
      <w:proofErr w:type="spellStart"/>
      <w:r w:rsidRPr="00BB78AE">
        <w:rPr>
          <w:i/>
        </w:rPr>
        <w:t>A3:2017</w:t>
      </w:r>
      <w:proofErr w:type="spellEnd"/>
      <w:r w:rsidRPr="00BB78AE">
        <w:rPr>
          <w:i/>
        </w:rPr>
        <w:t>.</w:t>
      </w:r>
    </w:p>
    <w:p w14:paraId="31A69E0C" w14:textId="77777777" w:rsidR="00064A27" w:rsidRDefault="00064A27" w:rsidP="00064A27">
      <w:pPr>
        <w:rPr>
          <w:i/>
        </w:rPr>
      </w:pPr>
    </w:p>
    <w:p w14:paraId="68F7B2C2" w14:textId="3F11D9E8" w:rsidR="00064A27" w:rsidRPr="00BB78AE" w:rsidRDefault="00064A27" w:rsidP="00BB78AE">
      <w:pPr>
        <w:pStyle w:val="ListParagraph"/>
        <w:numPr>
          <w:ilvl w:val="0"/>
          <w:numId w:val="5"/>
        </w:numPr>
        <w:rPr>
          <w:i/>
        </w:rPr>
      </w:pPr>
      <w:r w:rsidRPr="00BB78AE">
        <w:rPr>
          <w:i/>
        </w:rPr>
        <w:t>A document review must then be carried out by a qualified person, preferably the TL that should have already been allocated to conduct the next on-site evaluation of the AB.</w:t>
      </w:r>
    </w:p>
    <w:p w14:paraId="7BB99B40" w14:textId="77777777" w:rsidR="00064A27" w:rsidRDefault="00064A27" w:rsidP="00064A27">
      <w:pPr>
        <w:rPr>
          <w:i/>
        </w:rPr>
      </w:pPr>
    </w:p>
    <w:p w14:paraId="019199B1" w14:textId="70A1BDE1" w:rsidR="00064A27" w:rsidRPr="00BB78AE" w:rsidRDefault="00064A27" w:rsidP="00BB78AE">
      <w:pPr>
        <w:pStyle w:val="ListParagraph"/>
        <w:numPr>
          <w:ilvl w:val="0"/>
          <w:numId w:val="5"/>
        </w:numPr>
        <w:rPr>
          <w:i/>
        </w:rPr>
      </w:pPr>
      <w:r w:rsidRPr="00BB78AE">
        <w:rPr>
          <w:i/>
        </w:rPr>
        <w:t xml:space="preserve">Any findings from the document review will be identified, coded in accordance with the definitions for </w:t>
      </w:r>
      <w:proofErr w:type="spellStart"/>
      <w:r w:rsidRPr="00BB78AE">
        <w:rPr>
          <w:i/>
        </w:rPr>
        <w:t>NCs</w:t>
      </w:r>
      <w:proofErr w:type="spellEnd"/>
      <w:r w:rsidRPr="00BB78AE">
        <w:rPr>
          <w:i/>
        </w:rPr>
        <w:t xml:space="preserve"> and Concerns and addressed by the AB.</w:t>
      </w:r>
    </w:p>
    <w:p w14:paraId="0798D2AA" w14:textId="77777777" w:rsidR="00064A27" w:rsidRDefault="00064A27" w:rsidP="00064A27">
      <w:pPr>
        <w:rPr>
          <w:i/>
        </w:rPr>
      </w:pPr>
    </w:p>
    <w:p w14:paraId="49C1CD47" w14:textId="21DF886C" w:rsidR="00064A27" w:rsidRPr="00BB78AE" w:rsidRDefault="00064A27" w:rsidP="00BB78AE">
      <w:pPr>
        <w:pStyle w:val="ListParagraph"/>
        <w:numPr>
          <w:ilvl w:val="0"/>
          <w:numId w:val="5"/>
        </w:numPr>
        <w:rPr>
          <w:i/>
        </w:rPr>
      </w:pPr>
      <w:r w:rsidRPr="00BB78AE">
        <w:rPr>
          <w:i/>
        </w:rPr>
        <w:t>The team leader or qualified person that has carried out the document review will need to report to the relevant decision making group, confirming the document review has been completed, that the findings have been addressed by the AB and that this will be further verified as part of the next scheduled evaluation (specifying the date of that evaluation).</w:t>
      </w:r>
    </w:p>
    <w:p w14:paraId="195E7958" w14:textId="77777777" w:rsidR="00064A27" w:rsidRDefault="00064A27" w:rsidP="00064A27">
      <w:pPr>
        <w:rPr>
          <w:i/>
        </w:rPr>
      </w:pPr>
    </w:p>
    <w:p w14:paraId="2AECFC8E" w14:textId="067F32AA" w:rsidR="00064A27" w:rsidRPr="00BB78AE" w:rsidRDefault="00064A27" w:rsidP="00BB78AE">
      <w:pPr>
        <w:pStyle w:val="ListParagraph"/>
        <w:numPr>
          <w:ilvl w:val="0"/>
          <w:numId w:val="5"/>
        </w:numPr>
        <w:rPr>
          <w:i/>
        </w:rPr>
      </w:pPr>
      <w:r w:rsidRPr="00BB78AE">
        <w:rPr>
          <w:i/>
        </w:rPr>
        <w:t>The document review and decision making process must be completed by November 2020.</w:t>
      </w:r>
    </w:p>
    <w:p w14:paraId="00505951" w14:textId="77777777" w:rsidR="00064A27" w:rsidRDefault="00064A27" w:rsidP="00064A27">
      <w:pPr>
        <w:rPr>
          <w:i/>
        </w:rPr>
      </w:pPr>
    </w:p>
    <w:p w14:paraId="386EFE8D" w14:textId="1524A786" w:rsidR="00064A27" w:rsidRPr="00BB78AE" w:rsidRDefault="00064A27" w:rsidP="00BB78AE">
      <w:pPr>
        <w:pStyle w:val="ListParagraph"/>
        <w:numPr>
          <w:ilvl w:val="0"/>
          <w:numId w:val="5"/>
        </w:numPr>
        <w:rPr>
          <w:i/>
        </w:rPr>
      </w:pPr>
      <w:r w:rsidRPr="00BB78AE">
        <w:rPr>
          <w:i/>
        </w:rPr>
        <w:t>It is the responsibility of the regions to establish time frames to ensure these document reviews and associated decision making processes are completed by November 2020.</w:t>
      </w:r>
    </w:p>
    <w:p w14:paraId="79EE4B60" w14:textId="77777777" w:rsidR="00064A27" w:rsidRDefault="00064A27" w:rsidP="007F62C0"/>
    <w:p w14:paraId="1CECEAE7" w14:textId="22722BF6" w:rsidR="00064A27" w:rsidRDefault="00BB78AE" w:rsidP="007F62C0">
      <w:r>
        <w:t xml:space="preserve">To facilitate the document review the APAC </w:t>
      </w:r>
      <w:proofErr w:type="spellStart"/>
      <w:r>
        <w:t>MRAMC</w:t>
      </w:r>
      <w:proofErr w:type="spellEnd"/>
      <w:r>
        <w:t xml:space="preserve"> have confirmed that those accreditation bodies that will demonstrate the transition through document review must complete and submit their updated documentation for review no later than </w:t>
      </w:r>
      <w:r w:rsidRPr="00510B2B">
        <w:rPr>
          <w:b/>
          <w:u w:val="single"/>
        </w:rPr>
        <w:t>1 November 2019</w:t>
      </w:r>
      <w:r>
        <w:t>.</w:t>
      </w:r>
      <w:r w:rsidR="00232EDF">
        <w:t xml:space="preserve">  They are to self-complete an </w:t>
      </w:r>
      <w:proofErr w:type="spellStart"/>
      <w:r w:rsidR="00232EDF">
        <w:lastRenderedPageBreak/>
        <w:t>IAF</w:t>
      </w:r>
      <w:proofErr w:type="spellEnd"/>
      <w:r w:rsidR="00232EDF">
        <w:t xml:space="preserve">/ILAC </w:t>
      </w:r>
      <w:proofErr w:type="spellStart"/>
      <w:r w:rsidR="00232EDF">
        <w:t>A3</w:t>
      </w:r>
      <w:proofErr w:type="spellEnd"/>
      <w:r w:rsidR="00232EDF">
        <w:t xml:space="preserve"> and send it </w:t>
      </w:r>
      <w:r w:rsidR="00B27F68">
        <w:t xml:space="preserve">with supporting documentation </w:t>
      </w:r>
      <w:r w:rsidR="00232EDF">
        <w:t>to the</w:t>
      </w:r>
      <w:r w:rsidR="00BE00DC">
        <w:t>ir</w:t>
      </w:r>
      <w:r w:rsidR="00232EDF">
        <w:t xml:space="preserve"> </w:t>
      </w:r>
      <w:r w:rsidR="00BE00DC">
        <w:t>assigned</w:t>
      </w:r>
      <w:r w:rsidR="00232EDF">
        <w:t xml:space="preserve"> </w:t>
      </w:r>
      <w:r w:rsidR="00BE00DC">
        <w:t>Documentation</w:t>
      </w:r>
      <w:r w:rsidR="00232EDF">
        <w:t xml:space="preserve"> Revi</w:t>
      </w:r>
      <w:r w:rsidR="00BE00DC">
        <w:t>ewer (see Annex A).</w:t>
      </w:r>
      <w:r w:rsidR="00B27F68">
        <w:t xml:space="preserve">  Please use this copy of </w:t>
      </w:r>
      <w:proofErr w:type="spellStart"/>
      <w:r w:rsidR="00B27F68">
        <w:t>IAF</w:t>
      </w:r>
      <w:proofErr w:type="spellEnd"/>
      <w:r w:rsidR="00B27F68">
        <w:t xml:space="preserve">/ILAC </w:t>
      </w:r>
      <w:proofErr w:type="spellStart"/>
      <w:r w:rsidR="00B27F68">
        <w:t>A3</w:t>
      </w:r>
      <w:proofErr w:type="spellEnd"/>
      <w:r w:rsidR="00B27F68">
        <w:t>:</w:t>
      </w:r>
    </w:p>
    <w:p w14:paraId="52A060C4" w14:textId="6DAD313E" w:rsidR="003102A7" w:rsidRDefault="003102A7" w:rsidP="007F62C0"/>
    <w:p w14:paraId="284702E6" w14:textId="798FCC9C" w:rsidR="003102A7" w:rsidRDefault="003102A7" w:rsidP="003102A7">
      <w:pPr>
        <w:jc w:val="center"/>
      </w:pPr>
      <w:r>
        <w:object w:dxaOrig="1533" w:dyaOrig="990" w14:anchorId="75FCA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20058837" r:id="rId10">
            <o:FieldCodes>\s</o:FieldCodes>
          </o:OLEObject>
        </w:object>
      </w:r>
    </w:p>
    <w:p w14:paraId="276F2464" w14:textId="23E7BDD2" w:rsidR="00BB78AE" w:rsidRDefault="00BB78AE" w:rsidP="007F62C0"/>
    <w:p w14:paraId="0C69F630" w14:textId="687A1907" w:rsidR="00BB78AE" w:rsidRDefault="00BB78AE" w:rsidP="007F62C0">
      <w:r>
        <w:t>The documentation review shall be undertaken by the person identified in the table in Annex A (being either the assigned Team Leader for the next evaluation, or a person involved in a previous evaluation).</w:t>
      </w:r>
    </w:p>
    <w:p w14:paraId="21E2FB60" w14:textId="77777777" w:rsidR="00BE00DC" w:rsidRDefault="00BE00DC" w:rsidP="007F62C0"/>
    <w:p w14:paraId="0B384328" w14:textId="341EFB56" w:rsidR="00BB78AE" w:rsidRDefault="00BB78AE" w:rsidP="007F62C0">
      <w:r>
        <w:t>The relevant accreditation body is expected facilitate the document review</w:t>
      </w:r>
      <w:r w:rsidR="00B27F68">
        <w:t xml:space="preserve"> with the assigned reviewer</w:t>
      </w:r>
      <w:r>
        <w:t xml:space="preserve">.  The assigned person is to report to the </w:t>
      </w:r>
      <w:proofErr w:type="spellStart"/>
      <w:r>
        <w:t>MRAMC</w:t>
      </w:r>
      <w:proofErr w:type="spellEnd"/>
      <w:r>
        <w:t xml:space="preserve"> no later than </w:t>
      </w:r>
      <w:r w:rsidRPr="00BE00DC">
        <w:rPr>
          <w:u w:val="single"/>
        </w:rPr>
        <w:t>June 2020</w:t>
      </w:r>
      <w:r>
        <w:t xml:space="preserve"> with a completed report and a decision recommendation on whether the documentation submitted (and revised as necessary) is adequate enough to demonstrate conformity with ISO/IEC 17011:2017 requirements.</w:t>
      </w:r>
    </w:p>
    <w:p w14:paraId="50649215" w14:textId="77777777" w:rsidR="00714C84" w:rsidRDefault="00714C84" w:rsidP="007F62C0">
      <w:pPr>
        <w:rPr>
          <w:sz w:val="20"/>
          <w:szCs w:val="20"/>
        </w:rPr>
      </w:pPr>
    </w:p>
    <w:p w14:paraId="3D45063F" w14:textId="1BD2505E" w:rsidR="00714C84" w:rsidRDefault="00714C84" w:rsidP="009A5FED">
      <w:pPr>
        <w:pStyle w:val="Heading1"/>
      </w:pPr>
      <w:r w:rsidRPr="00714C84">
        <w:t>RECOMMENDATION</w:t>
      </w:r>
    </w:p>
    <w:p w14:paraId="6E61EC5B" w14:textId="77777777" w:rsidR="00BE00DC" w:rsidRPr="00BE00DC" w:rsidRDefault="00BE00DC" w:rsidP="00BE00DC"/>
    <w:p w14:paraId="1000C8A5" w14:textId="33BF6124" w:rsidR="004B3E03" w:rsidRDefault="00714C84" w:rsidP="00714C84">
      <w:r w:rsidRPr="00714C84">
        <w:t xml:space="preserve">That the </w:t>
      </w:r>
      <w:r w:rsidR="00BB78AE">
        <w:t xml:space="preserve">relevant </w:t>
      </w:r>
      <w:r w:rsidR="003102A7">
        <w:t xml:space="preserve">APAC </w:t>
      </w:r>
      <w:r w:rsidR="00BB78AE">
        <w:t xml:space="preserve">MRA Council Members </w:t>
      </w:r>
      <w:r w:rsidR="004B3E03">
        <w:t xml:space="preserve">prepare and submit their </w:t>
      </w:r>
      <w:r w:rsidR="00510B2B">
        <w:t>ISO/IEC 17011:</w:t>
      </w:r>
      <w:r w:rsidR="00510B2B" w:rsidRPr="003102A7">
        <w:rPr>
          <w:u w:val="single"/>
        </w:rPr>
        <w:t>2017</w:t>
      </w:r>
      <w:r w:rsidR="00510B2B">
        <w:t xml:space="preserve"> compliant </w:t>
      </w:r>
      <w:r w:rsidR="004B3E03">
        <w:t xml:space="preserve">documentation </w:t>
      </w:r>
      <w:r w:rsidR="003102A7">
        <w:t xml:space="preserve">to their assigned Documentation Reviewer </w:t>
      </w:r>
      <w:r w:rsidR="004B3E03">
        <w:t xml:space="preserve">no later than </w:t>
      </w:r>
      <w:r w:rsidR="004B3E03" w:rsidRPr="00510B2B">
        <w:rPr>
          <w:u w:val="single"/>
        </w:rPr>
        <w:t>1 November 2019</w:t>
      </w:r>
      <w:r w:rsidR="004B3E03">
        <w:t>.</w:t>
      </w:r>
    </w:p>
    <w:p w14:paraId="62BB14F2" w14:textId="77777777" w:rsidR="004B3E03" w:rsidRDefault="004B3E03" w:rsidP="00714C84"/>
    <w:p w14:paraId="119041F3" w14:textId="77777777" w:rsidR="00510B2B" w:rsidRDefault="00510B2B">
      <w:pPr>
        <w:jc w:val="left"/>
        <w:rPr>
          <w:b/>
          <w:caps/>
          <w:sz w:val="32"/>
          <w:szCs w:val="36"/>
        </w:rPr>
      </w:pPr>
      <w:r>
        <w:br w:type="page"/>
      </w:r>
    </w:p>
    <w:p w14:paraId="0D9131D6" w14:textId="16318FE6" w:rsidR="00B27F68" w:rsidRDefault="004B3E03" w:rsidP="00B27F68">
      <w:pPr>
        <w:pStyle w:val="Heading1"/>
        <w:jc w:val="center"/>
      </w:pPr>
      <w:r>
        <w:lastRenderedPageBreak/>
        <w:t>Annex A</w:t>
      </w:r>
    </w:p>
    <w:p w14:paraId="30F4E03C" w14:textId="77777777" w:rsidR="00B27F68" w:rsidRDefault="00B27F68" w:rsidP="00B27F68">
      <w:pPr>
        <w:pStyle w:val="Heading1"/>
        <w:jc w:val="center"/>
      </w:pPr>
      <w:r>
        <w:t xml:space="preserve">ACCREDITATION BODIES IDENTIFIED FOR document REVIEW </w:t>
      </w:r>
    </w:p>
    <w:p w14:paraId="4DBD4C7B" w14:textId="066A2407" w:rsidR="004B3E03" w:rsidRDefault="00B27F68" w:rsidP="00B27F68">
      <w:pPr>
        <w:pStyle w:val="Heading1"/>
        <w:jc w:val="center"/>
      </w:pPr>
      <w:r>
        <w:t>AND ASSIGNED document REVIEWERS</w:t>
      </w:r>
    </w:p>
    <w:p w14:paraId="2AB886A0" w14:textId="041165CC" w:rsidR="004B3E03" w:rsidRDefault="004B3E03" w:rsidP="004B3E03"/>
    <w:p w14:paraId="2A7AE308" w14:textId="0F2EE780" w:rsidR="004B3E03" w:rsidRDefault="004B3E03" w:rsidP="004B3E03">
      <w:r>
        <w:t xml:space="preserve">Those accreditation bodies highlighted </w:t>
      </w:r>
      <w:r w:rsidRPr="004B3E03">
        <w:rPr>
          <w:shd w:val="clear" w:color="auto" w:fill="E2EFD9" w:themeFill="accent6" w:themeFillTint="33"/>
        </w:rPr>
        <w:t>green</w:t>
      </w:r>
      <w:r>
        <w:t xml:space="preserve"> are expected to </w:t>
      </w:r>
      <w:r w:rsidR="00510B2B">
        <w:t xml:space="preserve">have </w:t>
      </w:r>
      <w:r>
        <w:t>complete</w:t>
      </w:r>
      <w:r w:rsidR="00510B2B">
        <w:t>d</w:t>
      </w:r>
      <w:r>
        <w:t xml:space="preserve"> their </w:t>
      </w:r>
      <w:r w:rsidR="00510B2B">
        <w:t xml:space="preserve">next </w:t>
      </w:r>
      <w:r>
        <w:t>schedule</w:t>
      </w:r>
      <w:r w:rsidR="00510B2B">
        <w:t>d</w:t>
      </w:r>
      <w:r>
        <w:t xml:space="preserve"> evaluation, including </w:t>
      </w:r>
      <w:r w:rsidR="00510B2B">
        <w:t xml:space="preserve">the </w:t>
      </w:r>
      <w:r>
        <w:t>final MRA Council ballot</w:t>
      </w:r>
      <w:r w:rsidR="00B27F68">
        <w:t xml:space="preserve">, </w:t>
      </w:r>
      <w:r w:rsidR="00510B2B">
        <w:t xml:space="preserve">prior to the </w:t>
      </w:r>
      <w:r>
        <w:t>end of the transition</w:t>
      </w:r>
      <w:r w:rsidR="00510B2B">
        <w:t xml:space="preserve"> </w:t>
      </w:r>
      <w:r w:rsidR="00B27F68">
        <w:t xml:space="preserve">period </w:t>
      </w:r>
      <w:r w:rsidR="00510B2B">
        <w:t xml:space="preserve">in November 2020.  </w:t>
      </w:r>
      <w:r w:rsidR="00B27F68">
        <w:t xml:space="preserve">Because of this </w:t>
      </w:r>
      <w:r w:rsidR="00510B2B" w:rsidRPr="00B27F68">
        <w:rPr>
          <w:u w:val="single"/>
        </w:rPr>
        <w:t>no</w:t>
      </w:r>
      <w:r w:rsidR="00510B2B">
        <w:t xml:space="preserve"> transitional document</w:t>
      </w:r>
      <w:r w:rsidR="00B27F68">
        <w:t xml:space="preserve">ation </w:t>
      </w:r>
      <w:r w:rsidR="00510B2B">
        <w:t xml:space="preserve">review is required. </w:t>
      </w:r>
    </w:p>
    <w:p w14:paraId="5FC3A847" w14:textId="77777777" w:rsidR="004B3E03" w:rsidRDefault="004B3E03" w:rsidP="004B3E03"/>
    <w:p w14:paraId="35A38603" w14:textId="67CA3E9D" w:rsidR="004B3E03" w:rsidRDefault="004B3E03" w:rsidP="004B3E03">
      <w:r w:rsidRPr="004B3E03">
        <w:t xml:space="preserve">Those accreditation bodies highlighted </w:t>
      </w:r>
      <w:r w:rsidRPr="004B3E03">
        <w:rPr>
          <w:shd w:val="clear" w:color="auto" w:fill="FFF2CC" w:themeFill="accent4" w:themeFillTint="33"/>
        </w:rPr>
        <w:t>gold</w:t>
      </w:r>
      <w:r w:rsidRPr="004B3E03">
        <w:t xml:space="preserve"> are </w:t>
      </w:r>
      <w:r w:rsidR="00510B2B" w:rsidRPr="00510B2B">
        <w:rPr>
          <w:u w:val="single"/>
        </w:rPr>
        <w:t>not</w:t>
      </w:r>
      <w:r w:rsidR="00510B2B">
        <w:t xml:space="preserve"> </w:t>
      </w:r>
      <w:r w:rsidR="00510B2B" w:rsidRPr="00510B2B">
        <w:t>expected to complete their next scheduled evaluation</w:t>
      </w:r>
      <w:r w:rsidR="00510B2B">
        <w:t xml:space="preserve"> before </w:t>
      </w:r>
      <w:r w:rsidR="00510B2B" w:rsidRPr="00510B2B">
        <w:t xml:space="preserve">the end of the transition </w:t>
      </w:r>
      <w:r w:rsidR="00B27F68">
        <w:t xml:space="preserve">period </w:t>
      </w:r>
      <w:r w:rsidR="00510B2B" w:rsidRPr="00510B2B">
        <w:t xml:space="preserve">in November 2020.  </w:t>
      </w:r>
      <w:r w:rsidR="00510B2B">
        <w:t xml:space="preserve">Because of this they must </w:t>
      </w:r>
      <w:r>
        <w:t xml:space="preserve">demonstrate their conformity to ISO/IEC 17011:2017 through documentation review by the </w:t>
      </w:r>
      <w:r w:rsidR="00510B2B">
        <w:t>Documentation Reviewer as assigned in the table below</w:t>
      </w:r>
      <w:r>
        <w:t>.</w:t>
      </w:r>
      <w:r w:rsidR="00510B2B">
        <w:t xml:space="preserve">  </w:t>
      </w:r>
      <w:r w:rsidR="00B27F68">
        <w:t>A</w:t>
      </w:r>
      <w:r w:rsidR="00B27F68">
        <w:t xml:space="preserve"> self-completed </w:t>
      </w:r>
      <w:proofErr w:type="spellStart"/>
      <w:r w:rsidR="00B27F68" w:rsidRPr="00510B2B">
        <w:t>IAF</w:t>
      </w:r>
      <w:proofErr w:type="spellEnd"/>
      <w:r w:rsidR="00B27F68" w:rsidRPr="00510B2B">
        <w:t>/</w:t>
      </w:r>
      <w:proofErr w:type="spellStart"/>
      <w:r w:rsidR="00B27F68" w:rsidRPr="00510B2B">
        <w:t>ILAC-A3:01</w:t>
      </w:r>
      <w:proofErr w:type="spellEnd"/>
      <w:r w:rsidR="00B27F68" w:rsidRPr="00510B2B">
        <w:t>/2018</w:t>
      </w:r>
      <w:r w:rsidR="00B27F68">
        <w:t xml:space="preserve"> </w:t>
      </w:r>
      <w:r w:rsidR="00B27F68">
        <w:t xml:space="preserve">with </w:t>
      </w:r>
      <w:r w:rsidR="00B27F68">
        <w:t>associated documentary evidence</w:t>
      </w:r>
      <w:r w:rsidR="00B27F68">
        <w:t xml:space="preserve"> </w:t>
      </w:r>
      <w:r w:rsidR="00510B2B">
        <w:t xml:space="preserve">must be submitted to the assigned Documentation Reviewer by </w:t>
      </w:r>
      <w:r w:rsidR="00510B2B" w:rsidRPr="00510B2B">
        <w:rPr>
          <w:b/>
          <w:u w:val="single"/>
        </w:rPr>
        <w:t>1 November 2019</w:t>
      </w:r>
      <w:r w:rsidR="00510B2B">
        <w:t>.</w:t>
      </w:r>
    </w:p>
    <w:p w14:paraId="380191D4" w14:textId="2F444D0E" w:rsidR="004B3E03" w:rsidRDefault="004B3E03" w:rsidP="004B3E03"/>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19"/>
        <w:gridCol w:w="1886"/>
        <w:gridCol w:w="1417"/>
        <w:gridCol w:w="2552"/>
        <w:gridCol w:w="2642"/>
      </w:tblGrid>
      <w:tr w:rsidR="007F45FB" w:rsidRPr="007F45FB" w14:paraId="5331911D" w14:textId="77777777" w:rsidTr="007F45FB">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1334" w:type="pct"/>
            <w:gridSpan w:val="2"/>
          </w:tcPr>
          <w:p w14:paraId="53384272" w14:textId="77777777" w:rsidR="004B3E03" w:rsidRPr="007F45FB" w:rsidRDefault="004B3E03" w:rsidP="00A15A83">
            <w:pPr>
              <w:jc w:val="center"/>
              <w:rPr>
                <w:rFonts w:cstheme="minorHAnsi"/>
                <w:sz w:val="20"/>
              </w:rPr>
            </w:pPr>
            <w:r w:rsidRPr="007F45FB">
              <w:rPr>
                <w:rFonts w:cstheme="minorHAnsi"/>
                <w:sz w:val="20"/>
              </w:rPr>
              <w:t>Accreditation body</w:t>
            </w:r>
          </w:p>
        </w:tc>
        <w:tc>
          <w:tcPr>
            <w:tcW w:w="786" w:type="pct"/>
          </w:tcPr>
          <w:p w14:paraId="3059FAB6" w14:textId="71F885A6" w:rsidR="004B3E03" w:rsidRPr="007F45FB" w:rsidRDefault="00B27F68" w:rsidP="00A15A8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Anticipated date </w:t>
            </w:r>
            <w:r w:rsidR="007F45FB" w:rsidRPr="007F45FB">
              <w:rPr>
                <w:rFonts w:cstheme="minorHAnsi"/>
                <w:sz w:val="20"/>
              </w:rPr>
              <w:t xml:space="preserve">of </w:t>
            </w:r>
            <w:r w:rsidRPr="007F45FB">
              <w:rPr>
                <w:rFonts w:cstheme="minorHAnsi"/>
                <w:sz w:val="20"/>
              </w:rPr>
              <w:t>next evaluation completion</w:t>
            </w:r>
          </w:p>
        </w:tc>
        <w:tc>
          <w:tcPr>
            <w:tcW w:w="1415" w:type="pct"/>
          </w:tcPr>
          <w:p w14:paraId="06F3F628" w14:textId="77777777" w:rsidR="004B3E03" w:rsidRPr="007F45FB" w:rsidRDefault="004B3E03" w:rsidP="00A15A8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Assigned Team Leader</w:t>
            </w:r>
          </w:p>
        </w:tc>
        <w:tc>
          <w:tcPr>
            <w:tcW w:w="1465" w:type="pct"/>
          </w:tcPr>
          <w:p w14:paraId="58370E6F" w14:textId="77777777" w:rsidR="004B3E03" w:rsidRPr="007F45FB" w:rsidRDefault="004B3E03" w:rsidP="00A15A8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17011:2017 Transition Documentation Reviewer</w:t>
            </w:r>
          </w:p>
        </w:tc>
      </w:tr>
      <w:tr w:rsidR="007F45FB" w:rsidRPr="007F45FB" w14:paraId="3F1ECC21"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2F98E8BE" w14:textId="77777777" w:rsidR="004B3E03" w:rsidRPr="007F45FB" w:rsidRDefault="004B3E03" w:rsidP="004B3E03">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tcPr>
          <w:p w14:paraId="18258762" w14:textId="77777777" w:rsidR="004B3E03" w:rsidRPr="007F45FB" w:rsidRDefault="004B3E03" w:rsidP="00A15A83">
            <w:pPr>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7F45FB">
              <w:rPr>
                <w:rFonts w:cstheme="minorHAnsi"/>
                <w:sz w:val="20"/>
              </w:rPr>
              <w:t>A2LA</w:t>
            </w:r>
            <w:proofErr w:type="spellEnd"/>
          </w:p>
        </w:tc>
        <w:tc>
          <w:tcPr>
            <w:tcW w:w="786" w:type="pct"/>
            <w:shd w:val="clear" w:color="auto" w:fill="E2EFD9" w:themeFill="accent6" w:themeFillTint="33"/>
          </w:tcPr>
          <w:p w14:paraId="72C78394" w14:textId="77777777" w:rsidR="004B3E03" w:rsidRPr="007F45FB" w:rsidRDefault="004B3E03" w:rsidP="00A15A83">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Complete</w:t>
            </w:r>
          </w:p>
        </w:tc>
        <w:tc>
          <w:tcPr>
            <w:tcW w:w="1415" w:type="pct"/>
            <w:shd w:val="clear" w:color="auto" w:fill="E2EFD9" w:themeFill="accent6" w:themeFillTint="33"/>
          </w:tcPr>
          <w:p w14:paraId="6B0FC1D2" w14:textId="77777777" w:rsidR="004B3E03" w:rsidRPr="007F45FB" w:rsidRDefault="004B3E03" w:rsidP="00C8447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w:t>
            </w:r>
          </w:p>
        </w:tc>
        <w:tc>
          <w:tcPr>
            <w:tcW w:w="1465" w:type="pct"/>
            <w:shd w:val="clear" w:color="auto" w:fill="E2EFD9" w:themeFill="accent6" w:themeFillTint="33"/>
          </w:tcPr>
          <w:p w14:paraId="568B7545" w14:textId="6DCB9B47" w:rsidR="004B3E03" w:rsidRPr="007F45FB" w:rsidRDefault="00510B2B"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04910F7"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3BC9DF87" w14:textId="77777777" w:rsidR="00510B2B" w:rsidRPr="007F45FB" w:rsidRDefault="00510B2B"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tcPr>
          <w:p w14:paraId="4A910CDE" w14:textId="77777777" w:rsidR="00510B2B" w:rsidRPr="007F45FB" w:rsidRDefault="00510B2B" w:rsidP="00510B2B">
            <w:pP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Standards Malaysia</w:t>
            </w:r>
          </w:p>
        </w:tc>
        <w:tc>
          <w:tcPr>
            <w:tcW w:w="786" w:type="pct"/>
            <w:shd w:val="clear" w:color="auto" w:fill="E2EFD9" w:themeFill="accent6" w:themeFillTint="33"/>
          </w:tcPr>
          <w:p w14:paraId="39A77DC9" w14:textId="77777777" w:rsidR="00510B2B" w:rsidRPr="007F45FB" w:rsidRDefault="00510B2B"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Complete</w:t>
            </w:r>
          </w:p>
        </w:tc>
        <w:tc>
          <w:tcPr>
            <w:tcW w:w="1415" w:type="pct"/>
            <w:shd w:val="clear" w:color="auto" w:fill="E2EFD9" w:themeFill="accent6" w:themeFillTint="33"/>
          </w:tcPr>
          <w:p w14:paraId="69915964" w14:textId="77777777" w:rsidR="00510B2B" w:rsidRPr="007F45FB" w:rsidRDefault="00510B2B"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w:t>
            </w:r>
          </w:p>
        </w:tc>
        <w:tc>
          <w:tcPr>
            <w:tcW w:w="1465" w:type="pct"/>
            <w:shd w:val="clear" w:color="auto" w:fill="E2EFD9" w:themeFill="accent6" w:themeFillTint="33"/>
          </w:tcPr>
          <w:p w14:paraId="081F3536" w14:textId="091F9B38" w:rsidR="00510B2B" w:rsidRPr="007F45FB" w:rsidRDefault="00510B2B"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759EF53F"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4BAF333B" w14:textId="77777777" w:rsidR="00AD088D" w:rsidRPr="007F45FB" w:rsidRDefault="00AD088D" w:rsidP="00E54980">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1B4D4EAE" w14:textId="77777777" w:rsidR="00AD088D" w:rsidRPr="007F45FB" w:rsidRDefault="00AD088D" w:rsidP="00E54980">
            <w:pPr>
              <w:jc w:val="left"/>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7F45FB">
              <w:rPr>
                <w:rFonts w:cstheme="minorHAnsi"/>
                <w:sz w:val="20"/>
              </w:rPr>
              <w:t>ENAS</w:t>
            </w:r>
            <w:proofErr w:type="spellEnd"/>
          </w:p>
        </w:tc>
        <w:tc>
          <w:tcPr>
            <w:tcW w:w="786" w:type="pct"/>
            <w:shd w:val="clear" w:color="auto" w:fill="E2EFD9" w:themeFill="accent6" w:themeFillTint="33"/>
            <w:hideMark/>
          </w:tcPr>
          <w:p w14:paraId="7FD0206E" w14:textId="77777777" w:rsidR="00AD088D" w:rsidRPr="007F45FB" w:rsidRDefault="00AD088D" w:rsidP="00E5498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Jul-19</w:t>
            </w:r>
          </w:p>
        </w:tc>
        <w:tc>
          <w:tcPr>
            <w:tcW w:w="1415" w:type="pct"/>
            <w:shd w:val="clear" w:color="auto" w:fill="E2EFD9" w:themeFill="accent6" w:themeFillTint="33"/>
          </w:tcPr>
          <w:p w14:paraId="6E791724" w14:textId="77777777" w:rsidR="00AD088D" w:rsidRPr="007F45FB" w:rsidRDefault="00AD088D" w:rsidP="00E54980">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Alok Jain</w:t>
            </w:r>
          </w:p>
        </w:tc>
        <w:tc>
          <w:tcPr>
            <w:tcW w:w="1465" w:type="pct"/>
            <w:shd w:val="clear" w:color="auto" w:fill="E2EFD9" w:themeFill="accent6" w:themeFillTint="33"/>
          </w:tcPr>
          <w:p w14:paraId="3679B198" w14:textId="77777777" w:rsidR="00AD088D" w:rsidRPr="007F45FB" w:rsidRDefault="00AD088D" w:rsidP="00E5498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0F7DE6E3"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172038AB" w14:textId="77777777" w:rsidR="00AD088D" w:rsidRPr="007F45FB" w:rsidRDefault="00AD088D" w:rsidP="008C24C9">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4A2AC8E5" w14:textId="77777777" w:rsidR="00AD088D" w:rsidRPr="007F45FB" w:rsidRDefault="00AD088D" w:rsidP="008C24C9">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BAB</w:t>
            </w:r>
          </w:p>
        </w:tc>
        <w:tc>
          <w:tcPr>
            <w:tcW w:w="786" w:type="pct"/>
            <w:shd w:val="clear" w:color="auto" w:fill="E2EFD9" w:themeFill="accent6" w:themeFillTint="33"/>
            <w:hideMark/>
          </w:tcPr>
          <w:p w14:paraId="6669CBAF" w14:textId="77777777" w:rsidR="00AD088D" w:rsidRPr="007F45FB" w:rsidRDefault="00AD088D" w:rsidP="008C24C9">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Oct-19</w:t>
            </w:r>
          </w:p>
        </w:tc>
        <w:tc>
          <w:tcPr>
            <w:tcW w:w="1415" w:type="pct"/>
            <w:shd w:val="clear" w:color="auto" w:fill="E2EFD9" w:themeFill="accent6" w:themeFillTint="33"/>
          </w:tcPr>
          <w:p w14:paraId="03B7F842" w14:textId="77777777" w:rsidR="00AD088D" w:rsidRPr="007F45FB" w:rsidRDefault="00AD088D" w:rsidP="008C24C9">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Shaharul Alwi</w:t>
            </w:r>
          </w:p>
        </w:tc>
        <w:tc>
          <w:tcPr>
            <w:tcW w:w="1465" w:type="pct"/>
            <w:shd w:val="clear" w:color="auto" w:fill="E2EFD9" w:themeFill="accent6" w:themeFillTint="33"/>
          </w:tcPr>
          <w:p w14:paraId="43BB9CDF" w14:textId="77777777" w:rsidR="00AD088D" w:rsidRPr="007F45FB" w:rsidRDefault="00AD088D" w:rsidP="008C24C9">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6A4AD911"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C0F5E11" w14:textId="77777777" w:rsidR="00AD088D" w:rsidRPr="007F45FB" w:rsidRDefault="00AD088D" w:rsidP="008C24C9">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24989695" w14:textId="77777777" w:rsidR="00AD088D" w:rsidRPr="007F45FB" w:rsidRDefault="00AD088D" w:rsidP="008C24C9">
            <w:pPr>
              <w:jc w:val="left"/>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7F45FB">
              <w:rPr>
                <w:rFonts w:cstheme="minorHAnsi"/>
                <w:sz w:val="20"/>
              </w:rPr>
              <w:t>IANZ</w:t>
            </w:r>
            <w:proofErr w:type="spellEnd"/>
          </w:p>
        </w:tc>
        <w:tc>
          <w:tcPr>
            <w:tcW w:w="786" w:type="pct"/>
            <w:shd w:val="clear" w:color="auto" w:fill="E2EFD9" w:themeFill="accent6" w:themeFillTint="33"/>
            <w:hideMark/>
          </w:tcPr>
          <w:p w14:paraId="0CD594E5" w14:textId="77777777" w:rsidR="00AD088D" w:rsidRPr="007F45FB" w:rsidRDefault="00AD088D" w:rsidP="008C24C9">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Oct-19</w:t>
            </w:r>
          </w:p>
        </w:tc>
        <w:tc>
          <w:tcPr>
            <w:tcW w:w="1415" w:type="pct"/>
            <w:shd w:val="clear" w:color="auto" w:fill="E2EFD9" w:themeFill="accent6" w:themeFillTint="33"/>
          </w:tcPr>
          <w:p w14:paraId="78BDC298" w14:textId="77777777" w:rsidR="00AD088D" w:rsidRPr="007F45FB" w:rsidRDefault="00AD088D" w:rsidP="008C24C9">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Ms. Dana </w:t>
            </w:r>
            <w:proofErr w:type="spellStart"/>
            <w:r w:rsidRPr="007F45FB">
              <w:rPr>
                <w:rFonts w:cstheme="minorHAnsi"/>
                <w:sz w:val="20"/>
              </w:rPr>
              <w:t>Leaman</w:t>
            </w:r>
            <w:proofErr w:type="spellEnd"/>
          </w:p>
        </w:tc>
        <w:tc>
          <w:tcPr>
            <w:tcW w:w="1465" w:type="pct"/>
            <w:shd w:val="clear" w:color="auto" w:fill="E2EFD9" w:themeFill="accent6" w:themeFillTint="33"/>
          </w:tcPr>
          <w:p w14:paraId="22DF4445" w14:textId="77777777" w:rsidR="00AD088D" w:rsidRPr="007F45FB" w:rsidRDefault="00AD088D" w:rsidP="008C24C9">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CDC2A5E"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54763E63" w14:textId="77777777" w:rsidR="00AD088D" w:rsidRPr="007F45FB" w:rsidRDefault="00AD088D" w:rsidP="008C24C9">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5744344E" w14:textId="77777777" w:rsidR="00AD088D" w:rsidRPr="007F45FB" w:rsidRDefault="00AD088D" w:rsidP="008C24C9">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NATA</w:t>
            </w:r>
          </w:p>
        </w:tc>
        <w:tc>
          <w:tcPr>
            <w:tcW w:w="786" w:type="pct"/>
            <w:shd w:val="clear" w:color="auto" w:fill="E2EFD9" w:themeFill="accent6" w:themeFillTint="33"/>
            <w:hideMark/>
          </w:tcPr>
          <w:p w14:paraId="6E977417" w14:textId="77777777" w:rsidR="00AD088D" w:rsidRPr="007F45FB" w:rsidRDefault="00AD088D" w:rsidP="008C24C9">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Oct-19</w:t>
            </w:r>
          </w:p>
        </w:tc>
        <w:tc>
          <w:tcPr>
            <w:tcW w:w="1415" w:type="pct"/>
            <w:shd w:val="clear" w:color="auto" w:fill="E2EFD9" w:themeFill="accent6" w:themeFillTint="33"/>
          </w:tcPr>
          <w:p w14:paraId="434D9BCE" w14:textId="77777777" w:rsidR="00AD088D" w:rsidRPr="007F45FB" w:rsidRDefault="00AD088D" w:rsidP="008C24C9">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Trace McInturff</w:t>
            </w:r>
          </w:p>
        </w:tc>
        <w:tc>
          <w:tcPr>
            <w:tcW w:w="1465" w:type="pct"/>
            <w:shd w:val="clear" w:color="auto" w:fill="E2EFD9" w:themeFill="accent6" w:themeFillTint="33"/>
          </w:tcPr>
          <w:p w14:paraId="135EF4A5" w14:textId="77777777" w:rsidR="00AD088D" w:rsidRPr="007F45FB" w:rsidRDefault="00AD088D" w:rsidP="008C24C9">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092A4A79"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EA6FABE" w14:textId="77777777" w:rsidR="00AD088D" w:rsidRPr="007F45FB" w:rsidRDefault="00AD088D" w:rsidP="00E914E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16EE2C6F" w14:textId="77777777" w:rsidR="00AD088D" w:rsidRPr="007F45FB" w:rsidRDefault="00AD088D" w:rsidP="00E914EB">
            <w:pPr>
              <w:jc w:val="left"/>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7F45FB">
              <w:rPr>
                <w:rFonts w:cstheme="minorHAnsi"/>
                <w:sz w:val="20"/>
              </w:rPr>
              <w:t>AOSC</w:t>
            </w:r>
            <w:proofErr w:type="spellEnd"/>
          </w:p>
        </w:tc>
        <w:tc>
          <w:tcPr>
            <w:tcW w:w="786" w:type="pct"/>
            <w:shd w:val="clear" w:color="auto" w:fill="E2EFD9" w:themeFill="accent6" w:themeFillTint="33"/>
            <w:hideMark/>
          </w:tcPr>
          <w:p w14:paraId="4A2B56E5" w14:textId="77777777" w:rsidR="00AD088D" w:rsidRPr="007F45FB" w:rsidRDefault="00AD088D" w:rsidP="00E914E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Dec-19</w:t>
            </w:r>
          </w:p>
        </w:tc>
        <w:tc>
          <w:tcPr>
            <w:tcW w:w="1415" w:type="pct"/>
            <w:shd w:val="clear" w:color="auto" w:fill="E2EFD9" w:themeFill="accent6" w:themeFillTint="33"/>
          </w:tcPr>
          <w:p w14:paraId="7BB16E59" w14:textId="77777777" w:rsidR="00AD088D" w:rsidRPr="007F45FB" w:rsidRDefault="00AD088D" w:rsidP="00E914E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Shaharul Alwi</w:t>
            </w:r>
          </w:p>
        </w:tc>
        <w:tc>
          <w:tcPr>
            <w:tcW w:w="1465" w:type="pct"/>
            <w:shd w:val="clear" w:color="auto" w:fill="E2EFD9" w:themeFill="accent6" w:themeFillTint="33"/>
          </w:tcPr>
          <w:p w14:paraId="60E34065" w14:textId="77777777" w:rsidR="00AD088D" w:rsidRPr="007F45FB" w:rsidRDefault="00AD088D" w:rsidP="00E914E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21DD0E42"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3677A706" w14:textId="77777777" w:rsidR="00AD088D" w:rsidRPr="007F45FB" w:rsidRDefault="00AD088D" w:rsidP="00E914E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274F6B52" w14:textId="77777777" w:rsidR="00AD088D" w:rsidRPr="007F45FB" w:rsidRDefault="00AD088D" w:rsidP="00E914E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NABCB</w:t>
            </w:r>
          </w:p>
        </w:tc>
        <w:tc>
          <w:tcPr>
            <w:tcW w:w="786" w:type="pct"/>
            <w:shd w:val="clear" w:color="auto" w:fill="E2EFD9" w:themeFill="accent6" w:themeFillTint="33"/>
            <w:hideMark/>
          </w:tcPr>
          <w:p w14:paraId="2CD4EFF9" w14:textId="77777777" w:rsidR="00AD088D" w:rsidRPr="007F45FB" w:rsidRDefault="00AD088D" w:rsidP="00E914E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Dec-19</w:t>
            </w:r>
          </w:p>
        </w:tc>
        <w:tc>
          <w:tcPr>
            <w:tcW w:w="1415" w:type="pct"/>
            <w:shd w:val="clear" w:color="auto" w:fill="E2EFD9" w:themeFill="accent6" w:themeFillTint="33"/>
          </w:tcPr>
          <w:p w14:paraId="0006EC5E" w14:textId="77777777" w:rsidR="00AD088D" w:rsidRPr="007F45FB" w:rsidRDefault="00AD088D" w:rsidP="00E914E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Bruce Li</w:t>
            </w:r>
          </w:p>
        </w:tc>
        <w:tc>
          <w:tcPr>
            <w:tcW w:w="1465" w:type="pct"/>
            <w:shd w:val="clear" w:color="auto" w:fill="E2EFD9" w:themeFill="accent6" w:themeFillTint="33"/>
          </w:tcPr>
          <w:p w14:paraId="24A67B83" w14:textId="77777777" w:rsidR="00AD088D" w:rsidRPr="007F45FB" w:rsidRDefault="00AD088D" w:rsidP="00E914E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1247C3C2"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3878CDE6" w14:textId="77777777" w:rsidR="00AD088D" w:rsidRPr="007F45FB" w:rsidRDefault="00AD088D" w:rsidP="00E914E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0D7FB4D1" w14:textId="77777777" w:rsidR="00AD088D" w:rsidRPr="007F45FB" w:rsidRDefault="00AD088D" w:rsidP="00E914E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NCA</w:t>
            </w:r>
          </w:p>
        </w:tc>
        <w:tc>
          <w:tcPr>
            <w:tcW w:w="786" w:type="pct"/>
            <w:shd w:val="clear" w:color="auto" w:fill="E2EFD9" w:themeFill="accent6" w:themeFillTint="33"/>
            <w:hideMark/>
          </w:tcPr>
          <w:p w14:paraId="77487B9B" w14:textId="77777777" w:rsidR="00AD088D" w:rsidRPr="007F45FB" w:rsidRDefault="00AD088D" w:rsidP="00E914E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Dec-19</w:t>
            </w:r>
          </w:p>
        </w:tc>
        <w:tc>
          <w:tcPr>
            <w:tcW w:w="1415" w:type="pct"/>
            <w:shd w:val="clear" w:color="auto" w:fill="E2EFD9" w:themeFill="accent6" w:themeFillTint="33"/>
          </w:tcPr>
          <w:p w14:paraId="32BAE6AA" w14:textId="77777777" w:rsidR="00AD088D" w:rsidRPr="007F45FB" w:rsidRDefault="00AD088D" w:rsidP="00E914E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Ms. Xu Na</w:t>
            </w:r>
          </w:p>
        </w:tc>
        <w:tc>
          <w:tcPr>
            <w:tcW w:w="1465" w:type="pct"/>
            <w:shd w:val="clear" w:color="auto" w:fill="E2EFD9" w:themeFill="accent6" w:themeFillTint="33"/>
          </w:tcPr>
          <w:p w14:paraId="472FDD40" w14:textId="77777777" w:rsidR="00AD088D" w:rsidRPr="007F45FB" w:rsidRDefault="00AD088D" w:rsidP="00E914E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45969F96"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62DA558" w14:textId="77777777" w:rsidR="00AD088D" w:rsidRPr="007F45FB" w:rsidRDefault="00AD088D" w:rsidP="00E914E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002CFFD5" w14:textId="77777777" w:rsidR="00AD088D" w:rsidRPr="007F45FB" w:rsidRDefault="00AD088D" w:rsidP="00E914E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VLAC</w:t>
            </w:r>
          </w:p>
        </w:tc>
        <w:tc>
          <w:tcPr>
            <w:tcW w:w="786" w:type="pct"/>
            <w:shd w:val="clear" w:color="auto" w:fill="E2EFD9" w:themeFill="accent6" w:themeFillTint="33"/>
            <w:hideMark/>
          </w:tcPr>
          <w:p w14:paraId="595F4034" w14:textId="77777777" w:rsidR="00AD088D" w:rsidRPr="007F45FB" w:rsidRDefault="00AD088D" w:rsidP="00E914E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Dec-19</w:t>
            </w:r>
          </w:p>
        </w:tc>
        <w:tc>
          <w:tcPr>
            <w:tcW w:w="1415" w:type="pct"/>
            <w:shd w:val="clear" w:color="auto" w:fill="E2EFD9" w:themeFill="accent6" w:themeFillTint="33"/>
          </w:tcPr>
          <w:p w14:paraId="362F0314" w14:textId="77777777" w:rsidR="00AD088D" w:rsidRPr="007F45FB" w:rsidRDefault="00AD088D" w:rsidP="00E914E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Ken Middlebrook</w:t>
            </w:r>
          </w:p>
        </w:tc>
        <w:tc>
          <w:tcPr>
            <w:tcW w:w="1465" w:type="pct"/>
            <w:shd w:val="clear" w:color="auto" w:fill="E2EFD9" w:themeFill="accent6" w:themeFillTint="33"/>
          </w:tcPr>
          <w:p w14:paraId="4495E59D" w14:textId="77777777" w:rsidR="00AD088D" w:rsidRPr="007F45FB" w:rsidRDefault="00AD088D" w:rsidP="00E914E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1AA51AA"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139003E1"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16F1910D"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CNAS</w:t>
            </w:r>
          </w:p>
        </w:tc>
        <w:tc>
          <w:tcPr>
            <w:tcW w:w="786" w:type="pct"/>
            <w:shd w:val="clear" w:color="auto" w:fill="E2EFD9" w:themeFill="accent6" w:themeFillTint="33"/>
            <w:hideMark/>
          </w:tcPr>
          <w:p w14:paraId="4C56700C"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Jun-20</w:t>
            </w:r>
          </w:p>
        </w:tc>
        <w:tc>
          <w:tcPr>
            <w:tcW w:w="1415" w:type="pct"/>
            <w:shd w:val="clear" w:color="auto" w:fill="E2EFD9" w:themeFill="accent6" w:themeFillTint="33"/>
          </w:tcPr>
          <w:p w14:paraId="2B154B69"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Julian Wilson</w:t>
            </w:r>
          </w:p>
        </w:tc>
        <w:tc>
          <w:tcPr>
            <w:tcW w:w="1465" w:type="pct"/>
            <w:shd w:val="clear" w:color="auto" w:fill="E2EFD9" w:themeFill="accent6" w:themeFillTint="33"/>
          </w:tcPr>
          <w:p w14:paraId="6AFAC6D2"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40110298"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E0BA578"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4FD7EE12"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IAJapan</w:t>
            </w:r>
          </w:p>
        </w:tc>
        <w:tc>
          <w:tcPr>
            <w:tcW w:w="786" w:type="pct"/>
            <w:shd w:val="clear" w:color="auto" w:fill="E2EFD9" w:themeFill="accent6" w:themeFillTint="33"/>
            <w:hideMark/>
          </w:tcPr>
          <w:p w14:paraId="29D4FD96"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Jun-20</w:t>
            </w:r>
          </w:p>
        </w:tc>
        <w:tc>
          <w:tcPr>
            <w:tcW w:w="1415" w:type="pct"/>
            <w:shd w:val="clear" w:color="auto" w:fill="E2EFD9" w:themeFill="accent6" w:themeFillTint="33"/>
          </w:tcPr>
          <w:p w14:paraId="6B111D2F"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Mohan </w:t>
            </w:r>
            <w:proofErr w:type="spellStart"/>
            <w:r w:rsidRPr="007F45FB">
              <w:rPr>
                <w:rFonts w:cstheme="minorHAnsi"/>
                <w:sz w:val="20"/>
              </w:rPr>
              <w:t>Sabaratnam</w:t>
            </w:r>
            <w:proofErr w:type="spellEnd"/>
          </w:p>
        </w:tc>
        <w:tc>
          <w:tcPr>
            <w:tcW w:w="1465" w:type="pct"/>
            <w:shd w:val="clear" w:color="auto" w:fill="E2EFD9" w:themeFill="accent6" w:themeFillTint="33"/>
          </w:tcPr>
          <w:p w14:paraId="0A998F09"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1496B7C6"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79D4F24"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18F214B0"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7F45FB">
              <w:rPr>
                <w:rFonts w:cstheme="minorHAnsi"/>
                <w:sz w:val="20"/>
              </w:rPr>
              <w:t>IQMH</w:t>
            </w:r>
            <w:proofErr w:type="spellEnd"/>
          </w:p>
        </w:tc>
        <w:tc>
          <w:tcPr>
            <w:tcW w:w="786" w:type="pct"/>
            <w:shd w:val="clear" w:color="auto" w:fill="E2EFD9" w:themeFill="accent6" w:themeFillTint="33"/>
            <w:hideMark/>
          </w:tcPr>
          <w:p w14:paraId="1A105A0A"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Jun-20</w:t>
            </w:r>
          </w:p>
        </w:tc>
        <w:tc>
          <w:tcPr>
            <w:tcW w:w="1415" w:type="pct"/>
            <w:shd w:val="clear" w:color="auto" w:fill="E2EFD9" w:themeFill="accent6" w:themeFillTint="33"/>
          </w:tcPr>
          <w:p w14:paraId="005AEAA8"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Ms. Jennifer Evans</w:t>
            </w:r>
          </w:p>
        </w:tc>
        <w:tc>
          <w:tcPr>
            <w:tcW w:w="1465" w:type="pct"/>
            <w:shd w:val="clear" w:color="auto" w:fill="E2EFD9" w:themeFill="accent6" w:themeFillTint="33"/>
          </w:tcPr>
          <w:p w14:paraId="3AE8EB46"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E196663"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7514D289"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3ADDC708"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proofErr w:type="spellStart"/>
            <w:r w:rsidRPr="007F45FB">
              <w:rPr>
                <w:rFonts w:cstheme="minorHAnsi"/>
                <w:sz w:val="20"/>
              </w:rPr>
              <w:t>NIER</w:t>
            </w:r>
            <w:proofErr w:type="spellEnd"/>
          </w:p>
        </w:tc>
        <w:tc>
          <w:tcPr>
            <w:tcW w:w="786" w:type="pct"/>
            <w:shd w:val="clear" w:color="auto" w:fill="E2EFD9" w:themeFill="accent6" w:themeFillTint="33"/>
            <w:hideMark/>
          </w:tcPr>
          <w:p w14:paraId="69296215"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Jun-20</w:t>
            </w:r>
          </w:p>
        </w:tc>
        <w:tc>
          <w:tcPr>
            <w:tcW w:w="1415" w:type="pct"/>
            <w:shd w:val="clear" w:color="auto" w:fill="E2EFD9" w:themeFill="accent6" w:themeFillTint="33"/>
          </w:tcPr>
          <w:p w14:paraId="73A4BA35"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Phua</w:t>
            </w:r>
            <w:proofErr w:type="spellEnd"/>
            <w:r w:rsidRPr="007F45FB">
              <w:rPr>
                <w:rFonts w:cstheme="minorHAnsi"/>
                <w:sz w:val="20"/>
              </w:rPr>
              <w:t xml:space="preserve"> Kim Chua</w:t>
            </w:r>
          </w:p>
        </w:tc>
        <w:tc>
          <w:tcPr>
            <w:tcW w:w="1465" w:type="pct"/>
            <w:shd w:val="clear" w:color="auto" w:fill="E2EFD9" w:themeFill="accent6" w:themeFillTint="33"/>
          </w:tcPr>
          <w:p w14:paraId="118889C1"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01B9DEE8"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F79C36C"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2D4AEFCF"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SLAB</w:t>
            </w:r>
          </w:p>
        </w:tc>
        <w:tc>
          <w:tcPr>
            <w:tcW w:w="786" w:type="pct"/>
            <w:shd w:val="clear" w:color="auto" w:fill="E2EFD9" w:themeFill="accent6" w:themeFillTint="33"/>
            <w:hideMark/>
          </w:tcPr>
          <w:p w14:paraId="2EDEAF7E"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Jun-20</w:t>
            </w:r>
          </w:p>
        </w:tc>
        <w:tc>
          <w:tcPr>
            <w:tcW w:w="1415" w:type="pct"/>
            <w:shd w:val="clear" w:color="auto" w:fill="E2EFD9" w:themeFill="accent6" w:themeFillTint="33"/>
          </w:tcPr>
          <w:p w14:paraId="2FFF3FB4"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Raj Nathan</w:t>
            </w:r>
          </w:p>
        </w:tc>
        <w:tc>
          <w:tcPr>
            <w:tcW w:w="1465" w:type="pct"/>
            <w:shd w:val="clear" w:color="auto" w:fill="E2EFD9" w:themeFill="accent6" w:themeFillTint="33"/>
          </w:tcPr>
          <w:p w14:paraId="6E3BA871"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1791F4E9"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72A4320C"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2020E34F"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IOAS</w:t>
            </w:r>
          </w:p>
        </w:tc>
        <w:tc>
          <w:tcPr>
            <w:tcW w:w="786" w:type="pct"/>
            <w:shd w:val="clear" w:color="auto" w:fill="E2EFD9" w:themeFill="accent6" w:themeFillTint="33"/>
            <w:hideMark/>
          </w:tcPr>
          <w:p w14:paraId="28BD055F"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Sep-20</w:t>
            </w:r>
          </w:p>
        </w:tc>
        <w:tc>
          <w:tcPr>
            <w:tcW w:w="1415" w:type="pct"/>
            <w:shd w:val="clear" w:color="auto" w:fill="E2EFD9" w:themeFill="accent6" w:themeFillTint="33"/>
          </w:tcPr>
          <w:p w14:paraId="7683E5C6"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Anil </w:t>
            </w:r>
            <w:proofErr w:type="spellStart"/>
            <w:r w:rsidRPr="007F45FB">
              <w:rPr>
                <w:rFonts w:cstheme="minorHAnsi"/>
                <w:sz w:val="20"/>
              </w:rPr>
              <w:t>Jauhri</w:t>
            </w:r>
            <w:proofErr w:type="spellEnd"/>
          </w:p>
        </w:tc>
        <w:tc>
          <w:tcPr>
            <w:tcW w:w="1465" w:type="pct"/>
            <w:shd w:val="clear" w:color="auto" w:fill="E2EFD9" w:themeFill="accent6" w:themeFillTint="33"/>
          </w:tcPr>
          <w:p w14:paraId="3D12DC15"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0EDDF458"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2FE7BC61"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683299DF"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GAC</w:t>
            </w:r>
          </w:p>
        </w:tc>
        <w:tc>
          <w:tcPr>
            <w:tcW w:w="786" w:type="pct"/>
            <w:shd w:val="clear" w:color="auto" w:fill="E2EFD9" w:themeFill="accent6" w:themeFillTint="33"/>
            <w:hideMark/>
          </w:tcPr>
          <w:p w14:paraId="7845E889"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Oct-20</w:t>
            </w:r>
          </w:p>
        </w:tc>
        <w:tc>
          <w:tcPr>
            <w:tcW w:w="1415" w:type="pct"/>
            <w:shd w:val="clear" w:color="auto" w:fill="E2EFD9" w:themeFill="accent6" w:themeFillTint="33"/>
          </w:tcPr>
          <w:p w14:paraId="2CF6B885"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LHD</w:t>
            </w:r>
            <w:proofErr w:type="spellEnd"/>
            <w:r w:rsidRPr="007F45FB">
              <w:rPr>
                <w:rFonts w:cstheme="minorHAnsi"/>
                <w:sz w:val="20"/>
              </w:rPr>
              <w:t xml:space="preserve"> </w:t>
            </w:r>
            <w:proofErr w:type="spellStart"/>
            <w:r w:rsidRPr="007F45FB">
              <w:rPr>
                <w:rFonts w:cstheme="minorHAnsi"/>
                <w:sz w:val="20"/>
              </w:rPr>
              <w:t>Bandusoma</w:t>
            </w:r>
            <w:proofErr w:type="spellEnd"/>
          </w:p>
        </w:tc>
        <w:tc>
          <w:tcPr>
            <w:tcW w:w="1465" w:type="pct"/>
            <w:shd w:val="clear" w:color="auto" w:fill="E2EFD9" w:themeFill="accent6" w:themeFillTint="33"/>
          </w:tcPr>
          <w:p w14:paraId="10119DC3"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5D90B26"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73F397C7"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631295E4"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MNAS</w:t>
            </w:r>
          </w:p>
        </w:tc>
        <w:tc>
          <w:tcPr>
            <w:tcW w:w="786" w:type="pct"/>
            <w:shd w:val="clear" w:color="auto" w:fill="E2EFD9" w:themeFill="accent6" w:themeFillTint="33"/>
            <w:hideMark/>
          </w:tcPr>
          <w:p w14:paraId="5B0D3B8B"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Oct-20</w:t>
            </w:r>
          </w:p>
        </w:tc>
        <w:tc>
          <w:tcPr>
            <w:tcW w:w="1415" w:type="pct"/>
            <w:shd w:val="clear" w:color="auto" w:fill="E2EFD9" w:themeFill="accent6" w:themeFillTint="33"/>
          </w:tcPr>
          <w:p w14:paraId="25B23D08"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Chin-Keung Cheung</w:t>
            </w:r>
          </w:p>
        </w:tc>
        <w:tc>
          <w:tcPr>
            <w:tcW w:w="1465" w:type="pct"/>
            <w:shd w:val="clear" w:color="auto" w:fill="E2EFD9" w:themeFill="accent6" w:themeFillTint="33"/>
          </w:tcPr>
          <w:p w14:paraId="41DC2736"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4A357BFE"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28D840C"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6A0FB8FE"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PAB</w:t>
            </w:r>
          </w:p>
        </w:tc>
        <w:tc>
          <w:tcPr>
            <w:tcW w:w="786" w:type="pct"/>
            <w:shd w:val="clear" w:color="auto" w:fill="E2EFD9" w:themeFill="accent6" w:themeFillTint="33"/>
            <w:hideMark/>
          </w:tcPr>
          <w:p w14:paraId="7838D30B"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Oct-20</w:t>
            </w:r>
          </w:p>
        </w:tc>
        <w:tc>
          <w:tcPr>
            <w:tcW w:w="1415" w:type="pct"/>
            <w:shd w:val="clear" w:color="auto" w:fill="E2EFD9" w:themeFill="accent6" w:themeFillTint="33"/>
          </w:tcPr>
          <w:p w14:paraId="370546FB"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Mr. Adam </w:t>
            </w:r>
            <w:proofErr w:type="spellStart"/>
            <w:r w:rsidRPr="007F45FB">
              <w:rPr>
                <w:rFonts w:cstheme="minorHAnsi"/>
                <w:sz w:val="20"/>
              </w:rPr>
              <w:t>Gouker</w:t>
            </w:r>
            <w:proofErr w:type="spellEnd"/>
          </w:p>
        </w:tc>
        <w:tc>
          <w:tcPr>
            <w:tcW w:w="1465" w:type="pct"/>
            <w:shd w:val="clear" w:color="auto" w:fill="E2EFD9" w:themeFill="accent6" w:themeFillTint="33"/>
          </w:tcPr>
          <w:p w14:paraId="6080D9EE"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E58567F"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00E294C5"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0F7206B6"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PNAC</w:t>
            </w:r>
          </w:p>
        </w:tc>
        <w:tc>
          <w:tcPr>
            <w:tcW w:w="786" w:type="pct"/>
            <w:shd w:val="clear" w:color="auto" w:fill="E2EFD9" w:themeFill="accent6" w:themeFillTint="33"/>
            <w:hideMark/>
          </w:tcPr>
          <w:p w14:paraId="24782FFD"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Oct-20</w:t>
            </w:r>
          </w:p>
        </w:tc>
        <w:tc>
          <w:tcPr>
            <w:tcW w:w="1415" w:type="pct"/>
            <w:shd w:val="clear" w:color="auto" w:fill="E2EFD9" w:themeFill="accent6" w:themeFillTint="33"/>
          </w:tcPr>
          <w:p w14:paraId="31D5C0E9"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Brahim</w:t>
            </w:r>
            <w:proofErr w:type="spellEnd"/>
            <w:r w:rsidRPr="007F45FB">
              <w:rPr>
                <w:rFonts w:cstheme="minorHAnsi"/>
                <w:sz w:val="20"/>
              </w:rPr>
              <w:t xml:space="preserve"> </w:t>
            </w:r>
            <w:proofErr w:type="spellStart"/>
            <w:r w:rsidRPr="007F45FB">
              <w:rPr>
                <w:rFonts w:cstheme="minorHAnsi"/>
                <w:sz w:val="20"/>
              </w:rPr>
              <w:t>Houla</w:t>
            </w:r>
            <w:proofErr w:type="spellEnd"/>
          </w:p>
        </w:tc>
        <w:tc>
          <w:tcPr>
            <w:tcW w:w="1465" w:type="pct"/>
            <w:shd w:val="clear" w:color="auto" w:fill="E2EFD9" w:themeFill="accent6" w:themeFillTint="33"/>
          </w:tcPr>
          <w:p w14:paraId="70566B1E"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BCC2AC7"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2E101BCB"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3B0706A7"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7F45FB">
              <w:rPr>
                <w:rFonts w:cstheme="minorHAnsi"/>
                <w:sz w:val="20"/>
              </w:rPr>
              <w:t>BoA</w:t>
            </w:r>
            <w:proofErr w:type="spellEnd"/>
          </w:p>
        </w:tc>
        <w:tc>
          <w:tcPr>
            <w:tcW w:w="786" w:type="pct"/>
            <w:shd w:val="clear" w:color="auto" w:fill="E2EFD9" w:themeFill="accent6" w:themeFillTint="33"/>
            <w:hideMark/>
          </w:tcPr>
          <w:p w14:paraId="1796FF39"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Nov-20</w:t>
            </w:r>
          </w:p>
        </w:tc>
        <w:tc>
          <w:tcPr>
            <w:tcW w:w="1415" w:type="pct"/>
            <w:shd w:val="clear" w:color="auto" w:fill="E2EFD9" w:themeFill="accent6" w:themeFillTint="33"/>
          </w:tcPr>
          <w:p w14:paraId="16C9FD49"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Peter Unger</w:t>
            </w:r>
          </w:p>
        </w:tc>
        <w:tc>
          <w:tcPr>
            <w:tcW w:w="1465" w:type="pct"/>
            <w:shd w:val="clear" w:color="auto" w:fill="E2EFD9" w:themeFill="accent6" w:themeFillTint="33"/>
          </w:tcPr>
          <w:p w14:paraId="5E06893F"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436CA92B"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2291D58F"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4FBA8A71"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CALA</w:t>
            </w:r>
          </w:p>
        </w:tc>
        <w:tc>
          <w:tcPr>
            <w:tcW w:w="786" w:type="pct"/>
            <w:shd w:val="clear" w:color="auto" w:fill="E2EFD9" w:themeFill="accent6" w:themeFillTint="33"/>
            <w:hideMark/>
          </w:tcPr>
          <w:p w14:paraId="425DF36F"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Nov-20</w:t>
            </w:r>
          </w:p>
        </w:tc>
        <w:tc>
          <w:tcPr>
            <w:tcW w:w="1415" w:type="pct"/>
            <w:shd w:val="clear" w:color="auto" w:fill="E2EFD9" w:themeFill="accent6" w:themeFillTint="33"/>
          </w:tcPr>
          <w:p w14:paraId="2950AFC2"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Liao</w:t>
            </w:r>
          </w:p>
        </w:tc>
        <w:tc>
          <w:tcPr>
            <w:tcW w:w="1465" w:type="pct"/>
            <w:shd w:val="clear" w:color="auto" w:fill="E2EFD9" w:themeFill="accent6" w:themeFillTint="33"/>
          </w:tcPr>
          <w:p w14:paraId="1773756E"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582433F1"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3AA2B6E8"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0F4FA56C"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EIAC</w:t>
            </w:r>
          </w:p>
        </w:tc>
        <w:tc>
          <w:tcPr>
            <w:tcW w:w="786" w:type="pct"/>
            <w:shd w:val="clear" w:color="auto" w:fill="E2EFD9" w:themeFill="accent6" w:themeFillTint="33"/>
            <w:hideMark/>
          </w:tcPr>
          <w:p w14:paraId="7D89CA1E"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Nov-20</w:t>
            </w:r>
          </w:p>
        </w:tc>
        <w:tc>
          <w:tcPr>
            <w:tcW w:w="1415" w:type="pct"/>
            <w:shd w:val="clear" w:color="auto" w:fill="E2EFD9" w:themeFill="accent6" w:themeFillTint="33"/>
          </w:tcPr>
          <w:p w14:paraId="2A1BCF58"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Ms. Lee Ham Eng</w:t>
            </w:r>
          </w:p>
        </w:tc>
        <w:tc>
          <w:tcPr>
            <w:tcW w:w="1465" w:type="pct"/>
            <w:shd w:val="clear" w:color="auto" w:fill="E2EFD9" w:themeFill="accent6" w:themeFillTint="33"/>
          </w:tcPr>
          <w:p w14:paraId="07EE32EC"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5FAFA147"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7FE984D4"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3C99C8E1"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KAB</w:t>
            </w:r>
          </w:p>
        </w:tc>
        <w:tc>
          <w:tcPr>
            <w:tcW w:w="786" w:type="pct"/>
            <w:shd w:val="clear" w:color="auto" w:fill="E2EFD9" w:themeFill="accent6" w:themeFillTint="33"/>
            <w:hideMark/>
          </w:tcPr>
          <w:p w14:paraId="72BC2FFC"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Nov-20</w:t>
            </w:r>
          </w:p>
        </w:tc>
        <w:tc>
          <w:tcPr>
            <w:tcW w:w="1415" w:type="pct"/>
            <w:shd w:val="clear" w:color="auto" w:fill="E2EFD9" w:themeFill="accent6" w:themeFillTint="33"/>
          </w:tcPr>
          <w:p w14:paraId="3889C4FE"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Bruce Lee</w:t>
            </w:r>
          </w:p>
        </w:tc>
        <w:tc>
          <w:tcPr>
            <w:tcW w:w="1465" w:type="pct"/>
            <w:shd w:val="clear" w:color="auto" w:fill="E2EFD9" w:themeFill="accent6" w:themeFillTint="33"/>
          </w:tcPr>
          <w:p w14:paraId="1857143A"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ACB6EF0"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6FCB0113"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59F51F66"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KOLAS</w:t>
            </w:r>
          </w:p>
        </w:tc>
        <w:tc>
          <w:tcPr>
            <w:tcW w:w="786" w:type="pct"/>
            <w:shd w:val="clear" w:color="auto" w:fill="E2EFD9" w:themeFill="accent6" w:themeFillTint="33"/>
            <w:hideMark/>
          </w:tcPr>
          <w:p w14:paraId="2BC282AB"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Nov-20</w:t>
            </w:r>
          </w:p>
        </w:tc>
        <w:tc>
          <w:tcPr>
            <w:tcW w:w="1415" w:type="pct"/>
            <w:shd w:val="clear" w:color="auto" w:fill="E2EFD9" w:themeFill="accent6" w:themeFillTint="33"/>
          </w:tcPr>
          <w:p w14:paraId="601BA233" w14:textId="77777777" w:rsidR="00AD088D" w:rsidRPr="007F45FB" w:rsidRDefault="00AD088D" w:rsidP="00510B2B">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Doug Leonard</w:t>
            </w:r>
          </w:p>
        </w:tc>
        <w:tc>
          <w:tcPr>
            <w:tcW w:w="1465" w:type="pct"/>
            <w:shd w:val="clear" w:color="auto" w:fill="E2EFD9" w:themeFill="accent6" w:themeFillTint="33"/>
          </w:tcPr>
          <w:p w14:paraId="1F2A74B1" w14:textId="77777777" w:rsidR="00AD088D" w:rsidRPr="007F45FB" w:rsidRDefault="00AD088D" w:rsidP="00510B2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0BD3C40E"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E2EFD9" w:themeFill="accent6" w:themeFillTint="33"/>
          </w:tcPr>
          <w:p w14:paraId="296BAF5A" w14:textId="77777777" w:rsidR="00AD088D" w:rsidRPr="007F45FB" w:rsidRDefault="00AD088D" w:rsidP="00510B2B">
            <w:pPr>
              <w:pStyle w:val="ListParagraph"/>
              <w:numPr>
                <w:ilvl w:val="0"/>
                <w:numId w:val="6"/>
              </w:numPr>
              <w:ind w:left="447" w:hanging="447"/>
              <w:jc w:val="left"/>
              <w:rPr>
                <w:rFonts w:cstheme="minorHAnsi"/>
                <w:b w:val="0"/>
                <w:sz w:val="20"/>
              </w:rPr>
            </w:pPr>
          </w:p>
        </w:tc>
        <w:tc>
          <w:tcPr>
            <w:tcW w:w="1046" w:type="pct"/>
            <w:shd w:val="clear" w:color="auto" w:fill="E2EFD9" w:themeFill="accent6" w:themeFillTint="33"/>
            <w:hideMark/>
          </w:tcPr>
          <w:p w14:paraId="2332D215"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NACI</w:t>
            </w:r>
          </w:p>
        </w:tc>
        <w:tc>
          <w:tcPr>
            <w:tcW w:w="786" w:type="pct"/>
            <w:shd w:val="clear" w:color="auto" w:fill="E2EFD9" w:themeFill="accent6" w:themeFillTint="33"/>
            <w:hideMark/>
          </w:tcPr>
          <w:p w14:paraId="6FB246EB"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Nov-20</w:t>
            </w:r>
          </w:p>
        </w:tc>
        <w:tc>
          <w:tcPr>
            <w:tcW w:w="1415" w:type="pct"/>
            <w:shd w:val="clear" w:color="auto" w:fill="E2EFD9" w:themeFill="accent6" w:themeFillTint="33"/>
          </w:tcPr>
          <w:p w14:paraId="255796AA" w14:textId="77777777" w:rsidR="00AD088D" w:rsidRPr="007F45FB" w:rsidRDefault="00AD088D" w:rsidP="00510B2B">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Apisit</w:t>
            </w:r>
            <w:proofErr w:type="spellEnd"/>
            <w:r w:rsidRPr="007F45FB">
              <w:rPr>
                <w:rFonts w:cstheme="minorHAnsi"/>
                <w:sz w:val="20"/>
              </w:rPr>
              <w:t xml:space="preserve"> </w:t>
            </w:r>
            <w:proofErr w:type="spellStart"/>
            <w:r w:rsidRPr="007F45FB">
              <w:rPr>
                <w:rFonts w:cstheme="minorHAnsi"/>
                <w:sz w:val="20"/>
              </w:rPr>
              <w:t>Prakarnkamanant</w:t>
            </w:r>
            <w:proofErr w:type="spellEnd"/>
          </w:p>
        </w:tc>
        <w:tc>
          <w:tcPr>
            <w:tcW w:w="1465" w:type="pct"/>
            <w:shd w:val="clear" w:color="auto" w:fill="E2EFD9" w:themeFill="accent6" w:themeFillTint="33"/>
          </w:tcPr>
          <w:p w14:paraId="2C3BC3D0" w14:textId="77777777" w:rsidR="00AD088D" w:rsidRPr="007F45FB" w:rsidRDefault="00AD088D" w:rsidP="00510B2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w:t>
            </w:r>
          </w:p>
        </w:tc>
      </w:tr>
      <w:tr w:rsidR="007F45FB" w:rsidRPr="007F45FB" w14:paraId="3E28E5D9"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047EE98F" w14:textId="77777777" w:rsidR="00AD088D" w:rsidRPr="007F45FB" w:rsidRDefault="00AD088D" w:rsidP="004E6AF8">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tcPr>
          <w:p w14:paraId="13D2D650" w14:textId="77777777" w:rsidR="00AD088D" w:rsidRPr="007F45FB" w:rsidRDefault="00AD088D" w:rsidP="004E6AF8">
            <w:pPr>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7F45FB">
              <w:rPr>
                <w:rFonts w:cstheme="minorHAnsi"/>
                <w:sz w:val="20"/>
              </w:rPr>
              <w:t>ANAB</w:t>
            </w:r>
            <w:proofErr w:type="spellEnd"/>
          </w:p>
        </w:tc>
        <w:tc>
          <w:tcPr>
            <w:tcW w:w="786" w:type="pct"/>
            <w:shd w:val="clear" w:color="auto" w:fill="FFF2CC" w:themeFill="accent4" w:themeFillTint="33"/>
          </w:tcPr>
          <w:p w14:paraId="1A7479DB" w14:textId="77777777" w:rsidR="00AD088D" w:rsidRPr="007F45FB" w:rsidRDefault="00AD088D" w:rsidP="004E6AF8">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Complete (via ISO 15189 extension)</w:t>
            </w:r>
          </w:p>
        </w:tc>
        <w:tc>
          <w:tcPr>
            <w:tcW w:w="1415" w:type="pct"/>
            <w:shd w:val="clear" w:color="auto" w:fill="FFF2CC" w:themeFill="accent4" w:themeFillTint="33"/>
          </w:tcPr>
          <w:p w14:paraId="01738248" w14:textId="77777777" w:rsidR="00AD088D" w:rsidRPr="007F45FB" w:rsidRDefault="00AD088D" w:rsidP="004E6AF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w:t>
            </w:r>
          </w:p>
        </w:tc>
        <w:tc>
          <w:tcPr>
            <w:tcW w:w="1465" w:type="pct"/>
            <w:shd w:val="clear" w:color="auto" w:fill="FFF2CC" w:themeFill="accent4" w:themeFillTint="33"/>
          </w:tcPr>
          <w:p w14:paraId="4759AEB7" w14:textId="77777777" w:rsidR="00AD088D" w:rsidRPr="007F45FB" w:rsidRDefault="00AD088D" w:rsidP="004E6AF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IAAC</w:t>
            </w:r>
          </w:p>
          <w:p w14:paraId="569082EA" w14:textId="77777777" w:rsidR="00AD088D" w:rsidRPr="007F45FB" w:rsidRDefault="00AD088D" w:rsidP="004E6AF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Ms. Martha Mejia Luna (ema)</w:t>
            </w:r>
          </w:p>
          <w:p w14:paraId="00FB278C" w14:textId="77777777" w:rsidR="00AD088D" w:rsidRPr="007F45FB" w:rsidRDefault="00AD088D" w:rsidP="004E6AF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IAAC will share report</w:t>
            </w:r>
          </w:p>
        </w:tc>
      </w:tr>
      <w:tr w:rsidR="007F45FB" w:rsidRPr="007F45FB" w14:paraId="342781AF"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4D0472E8" w14:textId="77777777" w:rsidR="00AD088D" w:rsidRPr="007F45FB" w:rsidRDefault="00AD088D" w:rsidP="0061533E">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3EB90DBE" w14:textId="77777777" w:rsidR="00AD088D" w:rsidRPr="007F45FB" w:rsidRDefault="00AD088D" w:rsidP="0061533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KAN </w:t>
            </w:r>
          </w:p>
        </w:tc>
        <w:tc>
          <w:tcPr>
            <w:tcW w:w="786" w:type="pct"/>
            <w:shd w:val="clear" w:color="auto" w:fill="FFF2CC" w:themeFill="accent4" w:themeFillTint="33"/>
            <w:hideMark/>
          </w:tcPr>
          <w:p w14:paraId="5C50F53C" w14:textId="77777777" w:rsidR="00AD088D" w:rsidRPr="007F45FB" w:rsidRDefault="00AD088D" w:rsidP="0061533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Dec-20</w:t>
            </w:r>
          </w:p>
        </w:tc>
        <w:tc>
          <w:tcPr>
            <w:tcW w:w="1415" w:type="pct"/>
            <w:shd w:val="clear" w:color="auto" w:fill="FFF2CC" w:themeFill="accent4" w:themeFillTint="33"/>
          </w:tcPr>
          <w:p w14:paraId="28DCD604" w14:textId="77777777" w:rsidR="00AD088D" w:rsidRPr="007F45FB" w:rsidRDefault="00AD088D" w:rsidP="0061533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Robert </w:t>
            </w:r>
            <w:proofErr w:type="spellStart"/>
            <w:r w:rsidRPr="007F45FB">
              <w:rPr>
                <w:rFonts w:cstheme="minorHAnsi"/>
                <w:sz w:val="20"/>
              </w:rPr>
              <w:t>Knake</w:t>
            </w:r>
            <w:proofErr w:type="spellEnd"/>
          </w:p>
        </w:tc>
        <w:tc>
          <w:tcPr>
            <w:tcW w:w="1465" w:type="pct"/>
            <w:shd w:val="clear" w:color="auto" w:fill="FFF2CC" w:themeFill="accent4" w:themeFillTint="33"/>
          </w:tcPr>
          <w:p w14:paraId="3B0B1B6A" w14:textId="77777777" w:rsidR="00AD088D" w:rsidRPr="007F45FB" w:rsidRDefault="00AD088D" w:rsidP="0061533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Robert </w:t>
            </w:r>
            <w:proofErr w:type="spellStart"/>
            <w:r w:rsidRPr="007F45FB">
              <w:rPr>
                <w:rFonts w:cstheme="minorHAnsi"/>
                <w:sz w:val="20"/>
              </w:rPr>
              <w:t>Knake</w:t>
            </w:r>
            <w:proofErr w:type="spellEnd"/>
          </w:p>
        </w:tc>
      </w:tr>
      <w:tr w:rsidR="007F45FB" w:rsidRPr="007F45FB" w14:paraId="6FC8EFA0"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6AA6D7AF" w14:textId="77777777" w:rsidR="00AD088D" w:rsidRPr="007F45FB" w:rsidRDefault="00AD088D" w:rsidP="0061533E">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1DAD4EDC" w14:textId="77777777" w:rsidR="00AD088D" w:rsidRPr="007F45FB" w:rsidRDefault="00AD088D" w:rsidP="0061533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NVLAP</w:t>
            </w:r>
          </w:p>
        </w:tc>
        <w:tc>
          <w:tcPr>
            <w:tcW w:w="786" w:type="pct"/>
            <w:shd w:val="clear" w:color="auto" w:fill="FFF2CC" w:themeFill="accent4" w:themeFillTint="33"/>
            <w:hideMark/>
          </w:tcPr>
          <w:p w14:paraId="1CB7122F" w14:textId="77777777" w:rsidR="00AD088D" w:rsidRPr="007F45FB" w:rsidRDefault="00AD088D" w:rsidP="0061533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Dec-20</w:t>
            </w:r>
          </w:p>
        </w:tc>
        <w:tc>
          <w:tcPr>
            <w:tcW w:w="1415" w:type="pct"/>
            <w:shd w:val="clear" w:color="auto" w:fill="FFF2CC" w:themeFill="accent4" w:themeFillTint="33"/>
          </w:tcPr>
          <w:p w14:paraId="36415AC2" w14:textId="77777777" w:rsidR="00AD088D" w:rsidRPr="007F45FB" w:rsidRDefault="00AD088D" w:rsidP="0061533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Ned Gravel</w:t>
            </w:r>
          </w:p>
        </w:tc>
        <w:tc>
          <w:tcPr>
            <w:tcW w:w="1465" w:type="pct"/>
            <w:shd w:val="clear" w:color="auto" w:fill="FFF2CC" w:themeFill="accent4" w:themeFillTint="33"/>
          </w:tcPr>
          <w:p w14:paraId="04439B79" w14:textId="77777777" w:rsidR="00AD088D" w:rsidRPr="007F45FB" w:rsidRDefault="00AD088D" w:rsidP="0061533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APAC/IAAC </w:t>
            </w:r>
          </w:p>
          <w:p w14:paraId="30B02003" w14:textId="77777777" w:rsidR="00AD088D" w:rsidRPr="007F45FB" w:rsidRDefault="00AD088D" w:rsidP="0061533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Ned Gravel</w:t>
            </w:r>
          </w:p>
        </w:tc>
      </w:tr>
      <w:tr w:rsidR="007F45FB" w:rsidRPr="007F45FB" w14:paraId="6A304A2D"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694B7E6F" w14:textId="77777777" w:rsidR="00AD088D" w:rsidRPr="007F45FB" w:rsidRDefault="00AD088D" w:rsidP="00823C7F">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103E5413" w14:textId="77777777" w:rsidR="00AD088D" w:rsidRPr="007F45FB" w:rsidRDefault="00AD088D" w:rsidP="00823C7F">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ISMS-AC</w:t>
            </w:r>
          </w:p>
        </w:tc>
        <w:tc>
          <w:tcPr>
            <w:tcW w:w="786" w:type="pct"/>
            <w:shd w:val="clear" w:color="auto" w:fill="FFF2CC" w:themeFill="accent4" w:themeFillTint="33"/>
            <w:hideMark/>
          </w:tcPr>
          <w:p w14:paraId="422C1805" w14:textId="77777777" w:rsidR="00AD088D" w:rsidRPr="007F45FB" w:rsidRDefault="00AD088D" w:rsidP="00823C7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Mar-21</w:t>
            </w:r>
          </w:p>
        </w:tc>
        <w:tc>
          <w:tcPr>
            <w:tcW w:w="1415" w:type="pct"/>
            <w:shd w:val="clear" w:color="auto" w:fill="FFF2CC" w:themeFill="accent4" w:themeFillTint="33"/>
          </w:tcPr>
          <w:p w14:paraId="30A25DB8" w14:textId="77777777" w:rsidR="00AD088D" w:rsidRPr="007F45FB" w:rsidRDefault="00AD088D" w:rsidP="00823C7F">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Phua</w:t>
            </w:r>
            <w:proofErr w:type="spellEnd"/>
            <w:r w:rsidRPr="007F45FB">
              <w:rPr>
                <w:rFonts w:cstheme="minorHAnsi"/>
                <w:sz w:val="20"/>
              </w:rPr>
              <w:t xml:space="preserve"> Kim Chua</w:t>
            </w:r>
          </w:p>
        </w:tc>
        <w:tc>
          <w:tcPr>
            <w:tcW w:w="1465" w:type="pct"/>
            <w:shd w:val="clear" w:color="auto" w:fill="FFF2CC" w:themeFill="accent4" w:themeFillTint="33"/>
          </w:tcPr>
          <w:p w14:paraId="5FF236E1" w14:textId="77777777" w:rsidR="00AD088D" w:rsidRPr="007F45FB" w:rsidRDefault="00AD088D" w:rsidP="00823C7F">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Phua</w:t>
            </w:r>
            <w:proofErr w:type="spellEnd"/>
            <w:r w:rsidRPr="007F45FB">
              <w:rPr>
                <w:rFonts w:cstheme="minorHAnsi"/>
                <w:sz w:val="20"/>
              </w:rPr>
              <w:t xml:space="preserve"> Kim Chua</w:t>
            </w:r>
          </w:p>
        </w:tc>
      </w:tr>
      <w:tr w:rsidR="007F45FB" w:rsidRPr="007F45FB" w14:paraId="06DA648A"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599A8487" w14:textId="77777777" w:rsidR="00AD088D" w:rsidRPr="007F45FB" w:rsidRDefault="00AD088D" w:rsidP="00823C7F">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17DB0344" w14:textId="77777777" w:rsidR="00AD088D" w:rsidRPr="007F45FB" w:rsidRDefault="00AD088D" w:rsidP="00823C7F">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NABL</w:t>
            </w:r>
          </w:p>
        </w:tc>
        <w:tc>
          <w:tcPr>
            <w:tcW w:w="786" w:type="pct"/>
            <w:shd w:val="clear" w:color="auto" w:fill="FFF2CC" w:themeFill="accent4" w:themeFillTint="33"/>
            <w:hideMark/>
          </w:tcPr>
          <w:p w14:paraId="48190179" w14:textId="77777777" w:rsidR="00AD088D" w:rsidRPr="007F45FB" w:rsidRDefault="00AD088D" w:rsidP="00823C7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Mar-21</w:t>
            </w:r>
          </w:p>
        </w:tc>
        <w:tc>
          <w:tcPr>
            <w:tcW w:w="1415" w:type="pct"/>
            <w:shd w:val="clear" w:color="auto" w:fill="FFF2CC" w:themeFill="accent4" w:themeFillTint="33"/>
          </w:tcPr>
          <w:p w14:paraId="025A5A86" w14:textId="77777777" w:rsidR="00AD088D" w:rsidRPr="007F45FB" w:rsidRDefault="00AD088D" w:rsidP="00823C7F">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Chin-Keung Cheung</w:t>
            </w:r>
          </w:p>
        </w:tc>
        <w:tc>
          <w:tcPr>
            <w:tcW w:w="1465" w:type="pct"/>
            <w:shd w:val="clear" w:color="auto" w:fill="FFF2CC" w:themeFill="accent4" w:themeFillTint="33"/>
          </w:tcPr>
          <w:p w14:paraId="5F4F78CE" w14:textId="77777777" w:rsidR="00AD088D" w:rsidRPr="007F45FB" w:rsidRDefault="00AD088D" w:rsidP="00823C7F">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Chin-Keung Cheung</w:t>
            </w:r>
          </w:p>
        </w:tc>
      </w:tr>
      <w:tr w:rsidR="007F45FB" w:rsidRPr="007F45FB" w14:paraId="3A0F291D"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1E036E97" w14:textId="77777777" w:rsidR="00AD088D" w:rsidRPr="007F45FB" w:rsidRDefault="00AD088D" w:rsidP="00B04C49">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04B64D2F" w14:textId="77777777" w:rsidR="00AD088D" w:rsidRPr="007F45FB" w:rsidRDefault="00AD088D" w:rsidP="00B04C49">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AAC </w:t>
            </w:r>
            <w:proofErr w:type="spellStart"/>
            <w:r w:rsidRPr="007F45FB">
              <w:rPr>
                <w:rFonts w:cstheme="minorHAnsi"/>
                <w:sz w:val="20"/>
              </w:rPr>
              <w:t>Analitica</w:t>
            </w:r>
            <w:proofErr w:type="spellEnd"/>
          </w:p>
        </w:tc>
        <w:tc>
          <w:tcPr>
            <w:tcW w:w="786" w:type="pct"/>
            <w:shd w:val="clear" w:color="auto" w:fill="FFF2CC" w:themeFill="accent4" w:themeFillTint="33"/>
            <w:hideMark/>
          </w:tcPr>
          <w:p w14:paraId="60BBABA2" w14:textId="77777777" w:rsidR="00AD088D" w:rsidRPr="007F45FB" w:rsidRDefault="00AD088D" w:rsidP="00B04C49">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Jun-21</w:t>
            </w:r>
          </w:p>
        </w:tc>
        <w:tc>
          <w:tcPr>
            <w:tcW w:w="1415" w:type="pct"/>
            <w:shd w:val="clear" w:color="auto" w:fill="FFF2CC" w:themeFill="accent4" w:themeFillTint="33"/>
          </w:tcPr>
          <w:p w14:paraId="1AB46276" w14:textId="77777777" w:rsidR="00AD088D" w:rsidRPr="007F45FB" w:rsidRDefault="00AD088D" w:rsidP="00B04C49">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Ms. Dana </w:t>
            </w:r>
            <w:proofErr w:type="spellStart"/>
            <w:r w:rsidRPr="007F45FB">
              <w:rPr>
                <w:rFonts w:cstheme="minorHAnsi"/>
                <w:sz w:val="20"/>
              </w:rPr>
              <w:t>Leaman</w:t>
            </w:r>
            <w:proofErr w:type="spellEnd"/>
          </w:p>
        </w:tc>
        <w:tc>
          <w:tcPr>
            <w:tcW w:w="1465" w:type="pct"/>
            <w:shd w:val="clear" w:color="auto" w:fill="FFF2CC" w:themeFill="accent4" w:themeFillTint="33"/>
          </w:tcPr>
          <w:p w14:paraId="1531FEF8" w14:textId="77777777" w:rsidR="00AD088D" w:rsidRPr="007F45FB" w:rsidRDefault="00AD088D" w:rsidP="00B04C49">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Ms. Dana </w:t>
            </w:r>
            <w:proofErr w:type="spellStart"/>
            <w:r w:rsidRPr="007F45FB">
              <w:rPr>
                <w:rFonts w:cstheme="minorHAnsi"/>
                <w:sz w:val="20"/>
              </w:rPr>
              <w:t>Leaman</w:t>
            </w:r>
            <w:proofErr w:type="spellEnd"/>
          </w:p>
        </w:tc>
      </w:tr>
      <w:tr w:rsidR="007F45FB" w:rsidRPr="007F45FB" w14:paraId="1C85156A"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1EAFB285" w14:textId="77777777" w:rsidR="00AD088D" w:rsidRPr="007F45FB" w:rsidRDefault="00AD088D" w:rsidP="003C6025">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55604ABE" w14:textId="77777777" w:rsidR="00AD088D" w:rsidRPr="007F45FB" w:rsidRDefault="00AD088D" w:rsidP="003C602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RusAccreditation</w:t>
            </w:r>
          </w:p>
        </w:tc>
        <w:tc>
          <w:tcPr>
            <w:tcW w:w="786" w:type="pct"/>
            <w:shd w:val="clear" w:color="auto" w:fill="FFF2CC" w:themeFill="accent4" w:themeFillTint="33"/>
            <w:hideMark/>
          </w:tcPr>
          <w:p w14:paraId="6A203E3A" w14:textId="77777777" w:rsidR="00AD088D" w:rsidRPr="007F45FB" w:rsidRDefault="00AD088D" w:rsidP="003C602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Oct-21</w:t>
            </w:r>
          </w:p>
        </w:tc>
        <w:tc>
          <w:tcPr>
            <w:tcW w:w="1415" w:type="pct"/>
            <w:shd w:val="clear" w:color="auto" w:fill="FFF2CC" w:themeFill="accent4" w:themeFillTint="33"/>
          </w:tcPr>
          <w:p w14:paraId="720023CA" w14:textId="77777777" w:rsidR="00AD088D" w:rsidRPr="007F45FB" w:rsidRDefault="00AD088D" w:rsidP="003C602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Mr. Mohan </w:t>
            </w:r>
            <w:proofErr w:type="spellStart"/>
            <w:r w:rsidRPr="007F45FB">
              <w:rPr>
                <w:rFonts w:cstheme="minorHAnsi"/>
                <w:sz w:val="20"/>
              </w:rPr>
              <w:t>Sabaratnam</w:t>
            </w:r>
            <w:proofErr w:type="spellEnd"/>
          </w:p>
        </w:tc>
        <w:tc>
          <w:tcPr>
            <w:tcW w:w="1465" w:type="pct"/>
            <w:shd w:val="clear" w:color="auto" w:fill="FFF2CC" w:themeFill="accent4" w:themeFillTint="33"/>
          </w:tcPr>
          <w:p w14:paraId="0A69EBBB" w14:textId="77777777" w:rsidR="00AD088D" w:rsidRPr="007F45FB" w:rsidRDefault="00AD088D" w:rsidP="003C602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Mr. Mohan </w:t>
            </w:r>
            <w:proofErr w:type="spellStart"/>
            <w:r w:rsidRPr="007F45FB">
              <w:rPr>
                <w:rFonts w:cstheme="minorHAnsi"/>
                <w:sz w:val="20"/>
              </w:rPr>
              <w:t>Sabaratnam</w:t>
            </w:r>
            <w:proofErr w:type="spellEnd"/>
          </w:p>
        </w:tc>
      </w:tr>
      <w:tr w:rsidR="007F45FB" w:rsidRPr="007F45FB" w14:paraId="43579975"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79556C48" w14:textId="77777777" w:rsidR="00AD088D" w:rsidRPr="007F45FB" w:rsidRDefault="00AD088D" w:rsidP="0004654E">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5D27FE44"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AIHA-LAP</w:t>
            </w:r>
          </w:p>
        </w:tc>
        <w:tc>
          <w:tcPr>
            <w:tcW w:w="786" w:type="pct"/>
            <w:shd w:val="clear" w:color="auto" w:fill="FFF2CC" w:themeFill="accent4" w:themeFillTint="33"/>
            <w:hideMark/>
          </w:tcPr>
          <w:p w14:paraId="62525722" w14:textId="77777777" w:rsidR="00AD088D" w:rsidRPr="007F45FB" w:rsidRDefault="00AD088D" w:rsidP="000465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Dec-21</w:t>
            </w:r>
          </w:p>
        </w:tc>
        <w:tc>
          <w:tcPr>
            <w:tcW w:w="1415" w:type="pct"/>
            <w:shd w:val="clear" w:color="auto" w:fill="FFF2CC" w:themeFill="accent4" w:themeFillTint="33"/>
          </w:tcPr>
          <w:p w14:paraId="0BE5AACA"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04D5CF65"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IAAC</w:t>
            </w:r>
          </w:p>
          <w:p w14:paraId="1981F829" w14:textId="5198FE92"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Ms. Sally Bruce</w:t>
            </w:r>
            <w:r w:rsidR="007F45FB" w:rsidRPr="007F45FB">
              <w:rPr>
                <w:rFonts w:cstheme="minorHAnsi"/>
                <w:sz w:val="20"/>
              </w:rPr>
              <w:t xml:space="preserve"> </w:t>
            </w:r>
            <w:r w:rsidRPr="007F45FB">
              <w:rPr>
                <w:rFonts w:cstheme="minorHAnsi"/>
                <w:sz w:val="20"/>
              </w:rPr>
              <w:t>(NVLAP)</w:t>
            </w:r>
          </w:p>
          <w:p w14:paraId="2A1A05A7"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IAAC will share the report</w:t>
            </w:r>
          </w:p>
        </w:tc>
      </w:tr>
      <w:tr w:rsidR="007F45FB" w:rsidRPr="007F45FB" w14:paraId="7B27CC19"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12A6E36A" w14:textId="77777777" w:rsidR="00AD088D" w:rsidRPr="007F45FB" w:rsidRDefault="00AD088D" w:rsidP="0004654E">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276F1F0B" w14:textId="77777777" w:rsidR="00AD088D" w:rsidRPr="007F45FB" w:rsidRDefault="00AD088D" w:rsidP="0004654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JAS-</w:t>
            </w:r>
            <w:proofErr w:type="spellStart"/>
            <w:r w:rsidRPr="007F45FB">
              <w:rPr>
                <w:rFonts w:cstheme="minorHAnsi"/>
                <w:sz w:val="20"/>
              </w:rPr>
              <w:t>ANZ</w:t>
            </w:r>
            <w:proofErr w:type="spellEnd"/>
          </w:p>
        </w:tc>
        <w:tc>
          <w:tcPr>
            <w:tcW w:w="786" w:type="pct"/>
            <w:shd w:val="clear" w:color="auto" w:fill="FFF2CC" w:themeFill="accent4" w:themeFillTint="33"/>
            <w:hideMark/>
          </w:tcPr>
          <w:p w14:paraId="6D06B20C" w14:textId="77777777" w:rsidR="00AD088D" w:rsidRPr="007F45FB" w:rsidRDefault="00AD088D" w:rsidP="000465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Dec-21</w:t>
            </w:r>
          </w:p>
        </w:tc>
        <w:tc>
          <w:tcPr>
            <w:tcW w:w="1415" w:type="pct"/>
            <w:shd w:val="clear" w:color="auto" w:fill="FFF2CC" w:themeFill="accent4" w:themeFillTint="33"/>
          </w:tcPr>
          <w:p w14:paraId="34E97A62" w14:textId="77777777" w:rsidR="00AD088D" w:rsidRPr="007F45FB" w:rsidRDefault="00AD088D" w:rsidP="0004654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7C08DD89" w14:textId="77777777" w:rsidR="00AD088D" w:rsidRPr="007F45FB" w:rsidRDefault="00AD088D" w:rsidP="0004654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Tiebai</w:t>
            </w:r>
            <w:proofErr w:type="spellEnd"/>
            <w:r w:rsidRPr="007F45FB">
              <w:rPr>
                <w:rFonts w:cstheme="minorHAnsi"/>
                <w:sz w:val="20"/>
              </w:rPr>
              <w:t xml:space="preserve"> Jiang</w:t>
            </w:r>
          </w:p>
        </w:tc>
      </w:tr>
      <w:tr w:rsidR="007F45FB" w:rsidRPr="007F45FB" w14:paraId="610653B4"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40CDDAAF" w14:textId="77777777" w:rsidR="00AD088D" w:rsidRPr="007F45FB" w:rsidRDefault="00AD088D" w:rsidP="0004654E">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344B524D"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PJLA Inc.</w:t>
            </w:r>
          </w:p>
        </w:tc>
        <w:tc>
          <w:tcPr>
            <w:tcW w:w="786" w:type="pct"/>
            <w:shd w:val="clear" w:color="auto" w:fill="FFF2CC" w:themeFill="accent4" w:themeFillTint="33"/>
            <w:hideMark/>
          </w:tcPr>
          <w:p w14:paraId="48A12EEF" w14:textId="77777777" w:rsidR="00AD088D" w:rsidRPr="007F45FB" w:rsidRDefault="00AD088D" w:rsidP="000465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Dec-21</w:t>
            </w:r>
          </w:p>
        </w:tc>
        <w:tc>
          <w:tcPr>
            <w:tcW w:w="1415" w:type="pct"/>
            <w:shd w:val="clear" w:color="auto" w:fill="FFF2CC" w:themeFill="accent4" w:themeFillTint="33"/>
          </w:tcPr>
          <w:p w14:paraId="6A92744B"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LHD</w:t>
            </w:r>
            <w:proofErr w:type="spellEnd"/>
            <w:r w:rsidRPr="007F45FB">
              <w:rPr>
                <w:rFonts w:cstheme="minorHAnsi"/>
                <w:sz w:val="20"/>
              </w:rPr>
              <w:t xml:space="preserve"> </w:t>
            </w:r>
            <w:proofErr w:type="spellStart"/>
            <w:r w:rsidRPr="007F45FB">
              <w:rPr>
                <w:rFonts w:cstheme="minorHAnsi"/>
                <w:sz w:val="20"/>
              </w:rPr>
              <w:t>Bandusoma</w:t>
            </w:r>
            <w:proofErr w:type="spellEnd"/>
          </w:p>
        </w:tc>
        <w:tc>
          <w:tcPr>
            <w:tcW w:w="1465" w:type="pct"/>
            <w:shd w:val="clear" w:color="auto" w:fill="FFF2CC" w:themeFill="accent4" w:themeFillTint="33"/>
          </w:tcPr>
          <w:p w14:paraId="0F84498D"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LHD</w:t>
            </w:r>
            <w:proofErr w:type="spellEnd"/>
            <w:r w:rsidRPr="007F45FB">
              <w:rPr>
                <w:rFonts w:cstheme="minorHAnsi"/>
                <w:sz w:val="20"/>
              </w:rPr>
              <w:t xml:space="preserve"> </w:t>
            </w:r>
            <w:proofErr w:type="spellStart"/>
            <w:r w:rsidRPr="007F45FB">
              <w:rPr>
                <w:rFonts w:cstheme="minorHAnsi"/>
                <w:sz w:val="20"/>
              </w:rPr>
              <w:t>Bandusoma</w:t>
            </w:r>
            <w:proofErr w:type="spellEnd"/>
          </w:p>
        </w:tc>
      </w:tr>
      <w:tr w:rsidR="007F45FB" w:rsidRPr="007F45FB" w14:paraId="43042622"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4AC6040B" w14:textId="77777777" w:rsidR="00AD088D" w:rsidRPr="007F45FB" w:rsidRDefault="00AD088D" w:rsidP="0004654E">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29960A2A" w14:textId="77777777" w:rsidR="00AD088D" w:rsidRPr="007F45FB" w:rsidRDefault="00AD088D" w:rsidP="0004654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SCC</w:t>
            </w:r>
          </w:p>
        </w:tc>
        <w:tc>
          <w:tcPr>
            <w:tcW w:w="786" w:type="pct"/>
            <w:shd w:val="clear" w:color="auto" w:fill="FFF2CC" w:themeFill="accent4" w:themeFillTint="33"/>
            <w:hideMark/>
          </w:tcPr>
          <w:p w14:paraId="7C10C3DF" w14:textId="77777777" w:rsidR="00AD088D" w:rsidRPr="007F45FB" w:rsidRDefault="00AD088D" w:rsidP="000465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Dec-21</w:t>
            </w:r>
          </w:p>
        </w:tc>
        <w:tc>
          <w:tcPr>
            <w:tcW w:w="1415" w:type="pct"/>
            <w:shd w:val="clear" w:color="auto" w:fill="FFF2CC" w:themeFill="accent4" w:themeFillTint="33"/>
          </w:tcPr>
          <w:p w14:paraId="2A374151" w14:textId="77777777" w:rsidR="00AD088D" w:rsidRPr="007F45FB" w:rsidRDefault="00AD088D" w:rsidP="0004654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24D18B48" w14:textId="77777777" w:rsidR="00AD088D" w:rsidRPr="007F45FB" w:rsidRDefault="00AD088D" w:rsidP="0004654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IAAC - Mr. Peter Unger and Ms. </w:t>
            </w:r>
            <w:proofErr w:type="spellStart"/>
            <w:r w:rsidRPr="007F45FB">
              <w:rPr>
                <w:rFonts w:cstheme="minorHAnsi"/>
                <w:sz w:val="20"/>
              </w:rPr>
              <w:t>Sharonmae</w:t>
            </w:r>
            <w:proofErr w:type="spellEnd"/>
            <w:r w:rsidRPr="007F45FB">
              <w:rPr>
                <w:rFonts w:cstheme="minorHAnsi"/>
                <w:sz w:val="20"/>
              </w:rPr>
              <w:t xml:space="preserve"> Shirley, </w:t>
            </w:r>
            <w:proofErr w:type="spellStart"/>
            <w:r w:rsidRPr="007F45FB">
              <w:rPr>
                <w:rFonts w:cstheme="minorHAnsi"/>
                <w:sz w:val="20"/>
              </w:rPr>
              <w:t>JANAAC</w:t>
            </w:r>
            <w:proofErr w:type="spellEnd"/>
            <w:r w:rsidRPr="007F45FB">
              <w:rPr>
                <w:rFonts w:cstheme="minorHAnsi"/>
                <w:sz w:val="20"/>
              </w:rPr>
              <w:t xml:space="preserve"> (Jamaica)</w:t>
            </w:r>
          </w:p>
          <w:p w14:paraId="15D90E3E" w14:textId="77777777" w:rsidR="00AD088D" w:rsidRPr="007F45FB" w:rsidRDefault="00AD088D" w:rsidP="0004654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IAAC to share report with APAC</w:t>
            </w:r>
          </w:p>
        </w:tc>
      </w:tr>
      <w:tr w:rsidR="007F45FB" w:rsidRPr="007F45FB" w14:paraId="4519817F" w14:textId="77777777" w:rsidTr="007F45FB">
        <w:trPr>
          <w:trHeight w:val="132"/>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1137B661" w14:textId="77777777" w:rsidR="00AD088D" w:rsidRPr="007F45FB" w:rsidRDefault="00AD088D" w:rsidP="0004654E">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215C5A6B"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TAF</w:t>
            </w:r>
          </w:p>
        </w:tc>
        <w:tc>
          <w:tcPr>
            <w:tcW w:w="786" w:type="pct"/>
            <w:shd w:val="clear" w:color="auto" w:fill="FFF2CC" w:themeFill="accent4" w:themeFillTint="33"/>
            <w:hideMark/>
          </w:tcPr>
          <w:p w14:paraId="6F0570AB" w14:textId="77777777" w:rsidR="00AD088D" w:rsidRPr="007F45FB" w:rsidRDefault="00AD088D" w:rsidP="000465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Dec-21</w:t>
            </w:r>
          </w:p>
        </w:tc>
        <w:tc>
          <w:tcPr>
            <w:tcW w:w="1415" w:type="pct"/>
            <w:shd w:val="clear" w:color="auto" w:fill="FFF2CC" w:themeFill="accent4" w:themeFillTint="33"/>
          </w:tcPr>
          <w:p w14:paraId="3EC039FF"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6F7DB870" w14:textId="77777777" w:rsidR="00AD088D" w:rsidRPr="007F45FB" w:rsidRDefault="00AD088D" w:rsidP="0004654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Ms. Lee Ham Eng</w:t>
            </w:r>
          </w:p>
        </w:tc>
      </w:tr>
      <w:tr w:rsidR="007F45FB" w:rsidRPr="007F45FB" w14:paraId="0DF2DAF4"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6A97F7AF" w14:textId="77777777" w:rsidR="00AD088D" w:rsidRPr="007F45FB" w:rsidRDefault="00AD088D" w:rsidP="00763BA5">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6305EA96"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ema</w:t>
            </w:r>
          </w:p>
        </w:tc>
        <w:tc>
          <w:tcPr>
            <w:tcW w:w="786" w:type="pct"/>
            <w:shd w:val="clear" w:color="auto" w:fill="FFF2CC" w:themeFill="accent4" w:themeFillTint="33"/>
            <w:hideMark/>
          </w:tcPr>
          <w:p w14:paraId="7505598D" w14:textId="77777777" w:rsidR="00AD088D" w:rsidRPr="007F45FB" w:rsidRDefault="00AD088D" w:rsidP="00763BA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Mar-22</w:t>
            </w:r>
          </w:p>
        </w:tc>
        <w:tc>
          <w:tcPr>
            <w:tcW w:w="1415" w:type="pct"/>
            <w:shd w:val="clear" w:color="auto" w:fill="FFF2CC" w:themeFill="accent4" w:themeFillTint="33"/>
          </w:tcPr>
          <w:p w14:paraId="694966FD"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4000DFFC"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APAC/IAAC </w:t>
            </w:r>
          </w:p>
          <w:p w14:paraId="7C9DABD9"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Ms. Lee Ham Eng (TL)</w:t>
            </w:r>
          </w:p>
          <w:p w14:paraId="47D693DA"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Paola </w:t>
            </w:r>
            <w:proofErr w:type="spellStart"/>
            <w:r w:rsidRPr="007F45FB">
              <w:rPr>
                <w:rFonts w:cstheme="minorHAnsi"/>
                <w:sz w:val="20"/>
              </w:rPr>
              <w:t>Mársico</w:t>
            </w:r>
            <w:proofErr w:type="spellEnd"/>
            <w:r w:rsidRPr="007F45FB">
              <w:rPr>
                <w:rFonts w:cstheme="minorHAnsi"/>
                <w:sz w:val="20"/>
              </w:rPr>
              <w:t xml:space="preserve"> (TM), </w:t>
            </w:r>
            <w:proofErr w:type="spellStart"/>
            <w:r w:rsidRPr="007F45FB">
              <w:rPr>
                <w:rFonts w:cstheme="minorHAnsi"/>
                <w:sz w:val="20"/>
              </w:rPr>
              <w:t>OAA</w:t>
            </w:r>
            <w:proofErr w:type="spellEnd"/>
            <w:r w:rsidRPr="007F45FB">
              <w:rPr>
                <w:rFonts w:cstheme="minorHAnsi"/>
                <w:sz w:val="20"/>
              </w:rPr>
              <w:t xml:space="preserve"> (Argentina)</w:t>
            </w:r>
          </w:p>
        </w:tc>
      </w:tr>
      <w:tr w:rsidR="007F45FB" w:rsidRPr="007F45FB" w14:paraId="168821C8"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38C6846E" w14:textId="77777777" w:rsidR="00AD088D" w:rsidRPr="007F45FB" w:rsidRDefault="00AD088D" w:rsidP="00763BA5">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32D335DF" w14:textId="77777777" w:rsidR="00AD088D" w:rsidRPr="007F45FB" w:rsidRDefault="00AD088D" w:rsidP="00763BA5">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NSC</w:t>
            </w:r>
          </w:p>
        </w:tc>
        <w:tc>
          <w:tcPr>
            <w:tcW w:w="786" w:type="pct"/>
            <w:shd w:val="clear" w:color="auto" w:fill="FFF2CC" w:themeFill="accent4" w:themeFillTint="33"/>
            <w:hideMark/>
          </w:tcPr>
          <w:p w14:paraId="6BC6718B" w14:textId="77777777" w:rsidR="00AD088D" w:rsidRPr="007F45FB" w:rsidRDefault="00AD088D" w:rsidP="00763BA5">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Mar-22</w:t>
            </w:r>
          </w:p>
        </w:tc>
        <w:tc>
          <w:tcPr>
            <w:tcW w:w="1415" w:type="pct"/>
            <w:shd w:val="clear" w:color="auto" w:fill="FFF2CC" w:themeFill="accent4" w:themeFillTint="33"/>
          </w:tcPr>
          <w:p w14:paraId="36FED0EA" w14:textId="77777777" w:rsidR="00AD088D" w:rsidRPr="007F45FB" w:rsidRDefault="00AD088D" w:rsidP="00763BA5">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68A17EBE" w14:textId="77777777" w:rsidR="00AD088D" w:rsidRPr="007F45FB" w:rsidRDefault="00AD088D" w:rsidP="00763BA5">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Lai Seng Chiang</w:t>
            </w:r>
          </w:p>
        </w:tc>
      </w:tr>
      <w:tr w:rsidR="007F45FB" w:rsidRPr="007F45FB" w14:paraId="71B0F477"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471CA02A" w14:textId="77777777" w:rsidR="00AD088D" w:rsidRPr="007F45FB" w:rsidRDefault="00AD088D" w:rsidP="00763BA5">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303951C3"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BLA-DSS </w:t>
            </w:r>
          </w:p>
        </w:tc>
        <w:tc>
          <w:tcPr>
            <w:tcW w:w="786" w:type="pct"/>
            <w:shd w:val="clear" w:color="auto" w:fill="FFF2CC" w:themeFill="accent4" w:themeFillTint="33"/>
            <w:hideMark/>
          </w:tcPr>
          <w:p w14:paraId="22026BE6" w14:textId="77777777" w:rsidR="00AD088D" w:rsidRPr="007F45FB" w:rsidRDefault="00AD088D" w:rsidP="00763BA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Jun-22</w:t>
            </w:r>
          </w:p>
        </w:tc>
        <w:tc>
          <w:tcPr>
            <w:tcW w:w="1415" w:type="pct"/>
            <w:shd w:val="clear" w:color="auto" w:fill="FFF2CC" w:themeFill="accent4" w:themeFillTint="33"/>
          </w:tcPr>
          <w:p w14:paraId="51F22A06"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TBC </w:t>
            </w:r>
          </w:p>
        </w:tc>
        <w:tc>
          <w:tcPr>
            <w:tcW w:w="1465" w:type="pct"/>
            <w:shd w:val="clear" w:color="auto" w:fill="FFF2CC" w:themeFill="accent4" w:themeFillTint="33"/>
          </w:tcPr>
          <w:p w14:paraId="52430F5B"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Ms Cynthia Chen</w:t>
            </w:r>
          </w:p>
        </w:tc>
      </w:tr>
      <w:tr w:rsidR="007F45FB" w:rsidRPr="007F45FB" w14:paraId="2AA2CA48"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2C9F7457" w14:textId="77777777" w:rsidR="00AD088D" w:rsidRPr="007F45FB" w:rsidRDefault="00AD088D" w:rsidP="00763BA5">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7C3EF1DD" w14:textId="77777777" w:rsidR="00AD088D" w:rsidRPr="007F45FB" w:rsidRDefault="00AD088D" w:rsidP="00763BA5">
            <w:pPr>
              <w:jc w:val="left"/>
              <w:cnfStyle w:val="000000000000" w:firstRow="0" w:lastRow="0" w:firstColumn="0" w:lastColumn="0" w:oddVBand="0" w:evenVBand="0" w:oddHBand="0" w:evenHBand="0" w:firstRowFirstColumn="0" w:firstRowLastColumn="0" w:lastRowFirstColumn="0" w:lastRowLastColumn="0"/>
              <w:rPr>
                <w:rFonts w:cstheme="minorHAnsi"/>
                <w:sz w:val="20"/>
              </w:rPr>
            </w:pPr>
            <w:proofErr w:type="spellStart"/>
            <w:r w:rsidRPr="007F45FB">
              <w:rPr>
                <w:rFonts w:cstheme="minorHAnsi"/>
                <w:sz w:val="20"/>
              </w:rPr>
              <w:t>BLQS</w:t>
            </w:r>
            <w:proofErr w:type="spellEnd"/>
            <w:r w:rsidRPr="007F45FB">
              <w:rPr>
                <w:rFonts w:cstheme="minorHAnsi"/>
                <w:sz w:val="20"/>
              </w:rPr>
              <w:t xml:space="preserve"> </w:t>
            </w:r>
            <w:proofErr w:type="spellStart"/>
            <w:r w:rsidRPr="007F45FB">
              <w:rPr>
                <w:rFonts w:cstheme="minorHAnsi"/>
                <w:sz w:val="20"/>
              </w:rPr>
              <w:t>DMSc</w:t>
            </w:r>
            <w:proofErr w:type="spellEnd"/>
            <w:r w:rsidRPr="007F45FB">
              <w:rPr>
                <w:rFonts w:cstheme="minorHAnsi"/>
                <w:sz w:val="20"/>
              </w:rPr>
              <w:t xml:space="preserve"> </w:t>
            </w:r>
          </w:p>
        </w:tc>
        <w:tc>
          <w:tcPr>
            <w:tcW w:w="786" w:type="pct"/>
            <w:shd w:val="clear" w:color="auto" w:fill="FFF2CC" w:themeFill="accent4" w:themeFillTint="33"/>
            <w:hideMark/>
          </w:tcPr>
          <w:p w14:paraId="15D19756" w14:textId="77777777" w:rsidR="00AD088D" w:rsidRPr="007F45FB" w:rsidRDefault="00AD088D" w:rsidP="00763BA5">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Jun-22</w:t>
            </w:r>
          </w:p>
        </w:tc>
        <w:tc>
          <w:tcPr>
            <w:tcW w:w="1415" w:type="pct"/>
            <w:shd w:val="clear" w:color="auto" w:fill="FFF2CC" w:themeFill="accent4" w:themeFillTint="33"/>
          </w:tcPr>
          <w:p w14:paraId="24A76F06" w14:textId="77777777" w:rsidR="00AD088D" w:rsidRPr="007F45FB" w:rsidRDefault="00AD088D" w:rsidP="00763BA5">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465AF62C" w14:textId="77777777" w:rsidR="00AD088D" w:rsidRPr="007F45FB" w:rsidRDefault="00AD088D" w:rsidP="00763BA5">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Ms. Rob </w:t>
            </w:r>
            <w:proofErr w:type="spellStart"/>
            <w:r w:rsidRPr="007F45FB">
              <w:rPr>
                <w:rFonts w:cstheme="minorHAnsi"/>
                <w:sz w:val="20"/>
              </w:rPr>
              <w:t>Knake</w:t>
            </w:r>
            <w:proofErr w:type="spellEnd"/>
          </w:p>
        </w:tc>
      </w:tr>
      <w:tr w:rsidR="007F45FB" w:rsidRPr="007F45FB" w14:paraId="2734386C"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4236ECE5" w14:textId="77777777" w:rsidR="00AD088D" w:rsidRPr="007F45FB" w:rsidRDefault="00AD088D" w:rsidP="00763BA5">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502AE4A2"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JAB</w:t>
            </w:r>
          </w:p>
        </w:tc>
        <w:tc>
          <w:tcPr>
            <w:tcW w:w="786" w:type="pct"/>
            <w:shd w:val="clear" w:color="auto" w:fill="FFF2CC" w:themeFill="accent4" w:themeFillTint="33"/>
            <w:hideMark/>
          </w:tcPr>
          <w:p w14:paraId="1891F3B8" w14:textId="77777777" w:rsidR="00AD088D" w:rsidRPr="007F45FB" w:rsidRDefault="00AD088D" w:rsidP="00763BA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Jun-22</w:t>
            </w:r>
          </w:p>
        </w:tc>
        <w:tc>
          <w:tcPr>
            <w:tcW w:w="1415" w:type="pct"/>
            <w:shd w:val="clear" w:color="auto" w:fill="FFF2CC" w:themeFill="accent4" w:themeFillTint="33"/>
          </w:tcPr>
          <w:p w14:paraId="323F9DA8"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4D8FF844" w14:textId="77777777" w:rsidR="00AD088D" w:rsidRPr="007F45FB" w:rsidRDefault="00AD088D" w:rsidP="00763BA5">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Ms. Dana </w:t>
            </w:r>
            <w:proofErr w:type="spellStart"/>
            <w:r w:rsidRPr="007F45FB">
              <w:rPr>
                <w:rFonts w:cstheme="minorHAnsi"/>
                <w:sz w:val="20"/>
              </w:rPr>
              <w:t>Leaman</w:t>
            </w:r>
            <w:proofErr w:type="spellEnd"/>
          </w:p>
        </w:tc>
      </w:tr>
      <w:tr w:rsidR="007F45FB" w:rsidRPr="007F45FB" w14:paraId="37E2A79F"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2616E7FE" w14:textId="77777777" w:rsidR="00AD088D" w:rsidRPr="007F45FB" w:rsidRDefault="00AD088D" w:rsidP="00100478">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57CEB784" w14:textId="77777777" w:rsidR="00AD088D" w:rsidRPr="007F45FB" w:rsidRDefault="00AD088D"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HKAS</w:t>
            </w:r>
          </w:p>
        </w:tc>
        <w:tc>
          <w:tcPr>
            <w:tcW w:w="786" w:type="pct"/>
            <w:shd w:val="clear" w:color="auto" w:fill="FFF2CC" w:themeFill="accent4" w:themeFillTint="33"/>
            <w:hideMark/>
          </w:tcPr>
          <w:p w14:paraId="30631E4B" w14:textId="77777777" w:rsidR="00AD088D" w:rsidRPr="007F45FB" w:rsidRDefault="00AD088D" w:rsidP="0010047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Dec-22</w:t>
            </w:r>
          </w:p>
        </w:tc>
        <w:tc>
          <w:tcPr>
            <w:tcW w:w="1415" w:type="pct"/>
            <w:shd w:val="clear" w:color="auto" w:fill="FFF2CC" w:themeFill="accent4" w:themeFillTint="33"/>
          </w:tcPr>
          <w:p w14:paraId="658DE6D4" w14:textId="77777777" w:rsidR="00AD088D" w:rsidRPr="007F45FB" w:rsidRDefault="00AD088D"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0FDD4D14" w14:textId="77777777" w:rsidR="00AD088D" w:rsidRPr="007F45FB" w:rsidRDefault="00AD088D"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Mr. </w:t>
            </w:r>
            <w:proofErr w:type="spellStart"/>
            <w:r w:rsidRPr="007F45FB">
              <w:rPr>
                <w:rFonts w:cstheme="minorHAnsi"/>
                <w:sz w:val="20"/>
              </w:rPr>
              <w:t>Giang</w:t>
            </w:r>
            <w:proofErr w:type="spellEnd"/>
            <w:r w:rsidRPr="007F45FB">
              <w:rPr>
                <w:rFonts w:cstheme="minorHAnsi"/>
                <w:sz w:val="20"/>
              </w:rPr>
              <w:t xml:space="preserve"> Minh Duc</w:t>
            </w:r>
          </w:p>
        </w:tc>
      </w:tr>
      <w:tr w:rsidR="007F45FB" w:rsidRPr="007F45FB" w14:paraId="7CC0E54D"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0D4550D0" w14:textId="77777777" w:rsidR="00AD088D" w:rsidRPr="007F45FB" w:rsidRDefault="00AD088D" w:rsidP="00100478">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3739EB11" w14:textId="77777777" w:rsidR="00AD088D" w:rsidRPr="007F45FB" w:rsidRDefault="00AD088D" w:rsidP="0010047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IAS</w:t>
            </w:r>
          </w:p>
        </w:tc>
        <w:tc>
          <w:tcPr>
            <w:tcW w:w="786" w:type="pct"/>
            <w:shd w:val="clear" w:color="auto" w:fill="FFF2CC" w:themeFill="accent4" w:themeFillTint="33"/>
            <w:hideMark/>
          </w:tcPr>
          <w:p w14:paraId="43FBCB29" w14:textId="77777777" w:rsidR="00AD088D" w:rsidRPr="007F45FB" w:rsidRDefault="00AD088D" w:rsidP="00100478">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Dec-22</w:t>
            </w:r>
          </w:p>
        </w:tc>
        <w:tc>
          <w:tcPr>
            <w:tcW w:w="1415" w:type="pct"/>
            <w:shd w:val="clear" w:color="auto" w:fill="FFF2CC" w:themeFill="accent4" w:themeFillTint="33"/>
          </w:tcPr>
          <w:p w14:paraId="2DADB186" w14:textId="77777777" w:rsidR="00AD088D" w:rsidRPr="007F45FB" w:rsidRDefault="00AD088D" w:rsidP="0010047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7B801C0C" w14:textId="77777777" w:rsidR="00AD088D" w:rsidRPr="007F45FB" w:rsidRDefault="00AD088D" w:rsidP="0010047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Mr. Apisit Prakarnkamanant</w:t>
            </w:r>
          </w:p>
        </w:tc>
      </w:tr>
      <w:tr w:rsidR="007F45FB" w:rsidRPr="007F45FB" w14:paraId="0F08C3CC"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0F29BF60" w14:textId="77777777" w:rsidR="00AD088D" w:rsidRPr="007F45FB" w:rsidRDefault="00AD088D" w:rsidP="00100478">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4F9F77DA" w14:textId="77777777" w:rsidR="00AD088D" w:rsidRPr="007F45FB" w:rsidRDefault="00AD088D"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KAS</w:t>
            </w:r>
          </w:p>
        </w:tc>
        <w:tc>
          <w:tcPr>
            <w:tcW w:w="786" w:type="pct"/>
            <w:shd w:val="clear" w:color="auto" w:fill="FFF2CC" w:themeFill="accent4" w:themeFillTint="33"/>
            <w:hideMark/>
          </w:tcPr>
          <w:p w14:paraId="33C5C5F4" w14:textId="77777777" w:rsidR="00AD088D" w:rsidRPr="007F45FB" w:rsidRDefault="00AD088D" w:rsidP="0010047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Dec-22</w:t>
            </w:r>
          </w:p>
        </w:tc>
        <w:tc>
          <w:tcPr>
            <w:tcW w:w="1415" w:type="pct"/>
            <w:shd w:val="clear" w:color="auto" w:fill="FFF2CC" w:themeFill="accent4" w:themeFillTint="33"/>
          </w:tcPr>
          <w:p w14:paraId="454800BA" w14:textId="77777777" w:rsidR="00AD088D" w:rsidRPr="007F45FB" w:rsidRDefault="00AD088D"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7650A64D" w14:textId="77777777" w:rsidR="00AD088D" w:rsidRPr="007F45FB" w:rsidRDefault="00AD088D"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Mr. Phua Kim Chua</w:t>
            </w:r>
          </w:p>
        </w:tc>
      </w:tr>
      <w:tr w:rsidR="007F45FB" w:rsidRPr="007F45FB" w14:paraId="010FCD8A"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FFF2CC" w:themeFill="accent4" w:themeFillTint="33"/>
          </w:tcPr>
          <w:p w14:paraId="5E4C2B45" w14:textId="77777777" w:rsidR="00AD088D" w:rsidRPr="007F45FB" w:rsidRDefault="00AD088D" w:rsidP="00100478">
            <w:pPr>
              <w:pStyle w:val="ListParagraph"/>
              <w:numPr>
                <w:ilvl w:val="0"/>
                <w:numId w:val="6"/>
              </w:numPr>
              <w:ind w:left="447" w:hanging="447"/>
              <w:jc w:val="left"/>
              <w:rPr>
                <w:rFonts w:cstheme="minorHAnsi"/>
                <w:b w:val="0"/>
                <w:sz w:val="20"/>
              </w:rPr>
            </w:pPr>
          </w:p>
        </w:tc>
        <w:tc>
          <w:tcPr>
            <w:tcW w:w="1046" w:type="pct"/>
            <w:shd w:val="clear" w:color="auto" w:fill="FFF2CC" w:themeFill="accent4" w:themeFillTint="33"/>
            <w:hideMark/>
          </w:tcPr>
          <w:p w14:paraId="2B24DED1" w14:textId="77777777" w:rsidR="00AD088D" w:rsidRPr="007F45FB" w:rsidRDefault="00AD088D" w:rsidP="0010047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SAC</w:t>
            </w:r>
          </w:p>
        </w:tc>
        <w:tc>
          <w:tcPr>
            <w:tcW w:w="786" w:type="pct"/>
            <w:shd w:val="clear" w:color="auto" w:fill="FFF2CC" w:themeFill="accent4" w:themeFillTint="33"/>
            <w:hideMark/>
          </w:tcPr>
          <w:p w14:paraId="4084CF38" w14:textId="77777777" w:rsidR="00AD088D" w:rsidRPr="007F45FB" w:rsidRDefault="00AD088D" w:rsidP="00100478">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Dec-22</w:t>
            </w:r>
          </w:p>
        </w:tc>
        <w:tc>
          <w:tcPr>
            <w:tcW w:w="1415" w:type="pct"/>
            <w:shd w:val="clear" w:color="auto" w:fill="FFF2CC" w:themeFill="accent4" w:themeFillTint="33"/>
          </w:tcPr>
          <w:p w14:paraId="420E6246" w14:textId="77777777" w:rsidR="00AD088D" w:rsidRPr="007F45FB" w:rsidRDefault="00AD088D" w:rsidP="0010047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FFF2CC" w:themeFill="accent4" w:themeFillTint="33"/>
          </w:tcPr>
          <w:p w14:paraId="3CDCE37C" w14:textId="77777777" w:rsidR="00AD088D" w:rsidRPr="007F45FB" w:rsidRDefault="00AD088D" w:rsidP="00100478">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Ms. Juanita Carpio</w:t>
            </w:r>
          </w:p>
        </w:tc>
      </w:tr>
      <w:tr w:rsidR="007F45FB" w:rsidRPr="007F45FB" w14:paraId="1BC28256"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auto"/>
          </w:tcPr>
          <w:p w14:paraId="1257DEC9" w14:textId="77777777" w:rsidR="00100478" w:rsidRPr="007F45FB" w:rsidRDefault="00100478" w:rsidP="00100478">
            <w:pPr>
              <w:pStyle w:val="ListParagraph"/>
              <w:numPr>
                <w:ilvl w:val="0"/>
                <w:numId w:val="6"/>
              </w:numPr>
              <w:ind w:left="447" w:hanging="447"/>
              <w:jc w:val="left"/>
              <w:rPr>
                <w:rFonts w:cstheme="minorHAnsi"/>
                <w:b w:val="0"/>
                <w:sz w:val="20"/>
              </w:rPr>
            </w:pPr>
          </w:p>
        </w:tc>
        <w:tc>
          <w:tcPr>
            <w:tcW w:w="1046" w:type="pct"/>
            <w:shd w:val="clear" w:color="auto" w:fill="auto"/>
            <w:hideMark/>
          </w:tcPr>
          <w:p w14:paraId="500A7918" w14:textId="77777777" w:rsidR="00100478" w:rsidRPr="007F45FB" w:rsidRDefault="00100478"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 xml:space="preserve">Accreditation Canada </w:t>
            </w:r>
          </w:p>
        </w:tc>
        <w:tc>
          <w:tcPr>
            <w:tcW w:w="786" w:type="pct"/>
            <w:shd w:val="clear" w:color="auto" w:fill="auto"/>
            <w:hideMark/>
          </w:tcPr>
          <w:p w14:paraId="3CD470C6" w14:textId="77777777" w:rsidR="00100478" w:rsidRPr="007F45FB" w:rsidRDefault="00100478" w:rsidP="0010047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New application</w:t>
            </w:r>
          </w:p>
        </w:tc>
        <w:tc>
          <w:tcPr>
            <w:tcW w:w="1415" w:type="pct"/>
            <w:shd w:val="clear" w:color="auto" w:fill="auto"/>
          </w:tcPr>
          <w:p w14:paraId="3CF73AB7" w14:textId="77777777" w:rsidR="00100478" w:rsidRPr="007F45FB" w:rsidRDefault="00100478" w:rsidP="00100478">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auto"/>
          </w:tcPr>
          <w:p w14:paraId="73944FB3" w14:textId="0507CCA7" w:rsidR="00100478" w:rsidRPr="007F45FB" w:rsidRDefault="0066652F" w:rsidP="0066652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 not a MRA signatory</w:t>
            </w:r>
          </w:p>
        </w:tc>
      </w:tr>
      <w:tr w:rsidR="007F45FB" w:rsidRPr="007F45FB" w14:paraId="77B865E2" w14:textId="77777777" w:rsidTr="007F45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 w:type="pct"/>
            <w:shd w:val="clear" w:color="auto" w:fill="auto"/>
          </w:tcPr>
          <w:p w14:paraId="100EDDE9" w14:textId="77777777" w:rsidR="0066652F" w:rsidRPr="007F45FB" w:rsidRDefault="0066652F" w:rsidP="0066652F">
            <w:pPr>
              <w:pStyle w:val="ListParagraph"/>
              <w:numPr>
                <w:ilvl w:val="0"/>
                <w:numId w:val="6"/>
              </w:numPr>
              <w:ind w:left="447" w:hanging="447"/>
              <w:jc w:val="left"/>
              <w:rPr>
                <w:rFonts w:cstheme="minorHAnsi"/>
                <w:b w:val="0"/>
                <w:sz w:val="20"/>
              </w:rPr>
            </w:pPr>
          </w:p>
        </w:tc>
        <w:tc>
          <w:tcPr>
            <w:tcW w:w="1046" w:type="pct"/>
            <w:shd w:val="clear" w:color="auto" w:fill="auto"/>
            <w:hideMark/>
          </w:tcPr>
          <w:p w14:paraId="2563DDC2" w14:textId="77777777" w:rsidR="0066652F" w:rsidRPr="007F45FB" w:rsidRDefault="0066652F" w:rsidP="0066652F">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 xml:space="preserve">AERSSC </w:t>
            </w:r>
          </w:p>
        </w:tc>
        <w:tc>
          <w:tcPr>
            <w:tcW w:w="786" w:type="pct"/>
            <w:shd w:val="clear" w:color="auto" w:fill="auto"/>
            <w:hideMark/>
          </w:tcPr>
          <w:p w14:paraId="033F121A" w14:textId="77777777" w:rsidR="0066652F" w:rsidRPr="007F45FB" w:rsidRDefault="0066652F" w:rsidP="0066652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New application</w:t>
            </w:r>
          </w:p>
        </w:tc>
        <w:tc>
          <w:tcPr>
            <w:tcW w:w="1415" w:type="pct"/>
            <w:shd w:val="clear" w:color="auto" w:fill="auto"/>
          </w:tcPr>
          <w:p w14:paraId="25A632E2" w14:textId="77777777" w:rsidR="0066652F" w:rsidRPr="007F45FB" w:rsidRDefault="0066652F" w:rsidP="0066652F">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auto"/>
          </w:tcPr>
          <w:p w14:paraId="73FACDDC" w14:textId="25E5A818" w:rsidR="0066652F" w:rsidRPr="007F45FB" w:rsidRDefault="0066652F" w:rsidP="0066652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7F45FB">
              <w:rPr>
                <w:rFonts w:cstheme="minorHAnsi"/>
                <w:sz w:val="20"/>
              </w:rPr>
              <w:t>Not required, not a MRA signatory</w:t>
            </w:r>
          </w:p>
        </w:tc>
      </w:tr>
      <w:tr w:rsidR="007F45FB" w:rsidRPr="007F45FB" w14:paraId="20D16893" w14:textId="77777777" w:rsidTr="007F45FB">
        <w:trPr>
          <w:trHeight w:val="70"/>
        </w:trPr>
        <w:tc>
          <w:tcPr>
            <w:cnfStyle w:val="001000000000" w:firstRow="0" w:lastRow="0" w:firstColumn="1" w:lastColumn="0" w:oddVBand="0" w:evenVBand="0" w:oddHBand="0" w:evenHBand="0" w:firstRowFirstColumn="0" w:firstRowLastColumn="0" w:lastRowFirstColumn="0" w:lastRowLastColumn="0"/>
            <w:tcW w:w="288" w:type="pct"/>
          </w:tcPr>
          <w:p w14:paraId="78297DC4" w14:textId="77777777" w:rsidR="0066652F" w:rsidRPr="007F45FB" w:rsidRDefault="0066652F" w:rsidP="0066652F">
            <w:pPr>
              <w:pStyle w:val="ListParagraph"/>
              <w:numPr>
                <w:ilvl w:val="0"/>
                <w:numId w:val="6"/>
              </w:numPr>
              <w:ind w:left="447" w:hanging="447"/>
              <w:jc w:val="left"/>
              <w:rPr>
                <w:rFonts w:cstheme="minorHAnsi"/>
                <w:b w:val="0"/>
                <w:sz w:val="20"/>
              </w:rPr>
            </w:pPr>
          </w:p>
        </w:tc>
        <w:tc>
          <w:tcPr>
            <w:tcW w:w="1046" w:type="pct"/>
            <w:hideMark/>
          </w:tcPr>
          <w:p w14:paraId="6ACAD358" w14:textId="77777777" w:rsidR="0066652F" w:rsidRPr="007F45FB" w:rsidRDefault="0066652F" w:rsidP="0066652F">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PNGLAS</w:t>
            </w:r>
          </w:p>
        </w:tc>
        <w:tc>
          <w:tcPr>
            <w:tcW w:w="786" w:type="pct"/>
            <w:hideMark/>
          </w:tcPr>
          <w:p w14:paraId="021ABCA7" w14:textId="77777777" w:rsidR="0066652F" w:rsidRPr="007F45FB" w:rsidRDefault="0066652F" w:rsidP="0066652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Suspended</w:t>
            </w:r>
          </w:p>
        </w:tc>
        <w:tc>
          <w:tcPr>
            <w:tcW w:w="1415" w:type="pct"/>
          </w:tcPr>
          <w:p w14:paraId="56C3F283" w14:textId="77777777" w:rsidR="0066652F" w:rsidRPr="007F45FB" w:rsidRDefault="0066652F" w:rsidP="0066652F">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TBC</w:t>
            </w:r>
          </w:p>
        </w:tc>
        <w:tc>
          <w:tcPr>
            <w:tcW w:w="1465" w:type="pct"/>
            <w:shd w:val="clear" w:color="auto" w:fill="auto"/>
          </w:tcPr>
          <w:p w14:paraId="363B6D00" w14:textId="5700F36B" w:rsidR="0066652F" w:rsidRPr="007F45FB" w:rsidRDefault="0066652F" w:rsidP="0066652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7F45FB">
              <w:rPr>
                <w:rFonts w:cstheme="minorHAnsi"/>
                <w:sz w:val="20"/>
              </w:rPr>
              <w:t>Not required, suspended</w:t>
            </w:r>
          </w:p>
        </w:tc>
      </w:tr>
    </w:tbl>
    <w:p w14:paraId="4BBACACB" w14:textId="77777777" w:rsidR="00714C84" w:rsidRPr="00714C84" w:rsidRDefault="00714C84" w:rsidP="00714C84">
      <w:bookmarkStart w:id="0" w:name="_GoBack"/>
      <w:bookmarkEnd w:id="0"/>
    </w:p>
    <w:sectPr w:rsidR="00714C84" w:rsidRPr="00714C84" w:rsidSect="000469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EA57" w14:textId="77777777" w:rsidR="00ED7268" w:rsidRDefault="00ED7268" w:rsidP="00FA7226">
      <w:r>
        <w:separator/>
      </w:r>
    </w:p>
  </w:endnote>
  <w:endnote w:type="continuationSeparator" w:id="0">
    <w:p w14:paraId="404849DC" w14:textId="77777777" w:rsidR="00ED7268" w:rsidRDefault="00ED7268" w:rsidP="00FA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1000" w14:textId="77777777" w:rsidR="00604B50" w:rsidRDefault="0060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2500"/>
      <w:gridCol w:w="1405"/>
      <w:gridCol w:w="1405"/>
      <w:gridCol w:w="1405"/>
      <w:gridCol w:w="1558"/>
    </w:tblGrid>
    <w:tr w:rsidR="00FA7226" w:rsidRPr="00FA7226" w14:paraId="4BC038FC" w14:textId="77777777" w:rsidTr="00E014E0">
      <w:tc>
        <w:tcPr>
          <w:tcW w:w="753" w:type="dxa"/>
          <w:tcBorders>
            <w:bottom w:val="single" w:sz="4" w:space="0" w:color="auto"/>
          </w:tcBorders>
        </w:tcPr>
        <w:p w14:paraId="0E662171" w14:textId="77777777" w:rsidR="00FA7226" w:rsidRPr="00FA7226" w:rsidRDefault="00FA7226">
          <w:pPr>
            <w:pStyle w:val="Footer"/>
            <w:rPr>
              <w:sz w:val="16"/>
              <w:szCs w:val="16"/>
            </w:rPr>
          </w:pPr>
        </w:p>
      </w:tc>
      <w:tc>
        <w:tcPr>
          <w:tcW w:w="4412" w:type="dxa"/>
          <w:tcBorders>
            <w:bottom w:val="single" w:sz="4" w:space="0" w:color="auto"/>
          </w:tcBorders>
        </w:tcPr>
        <w:p w14:paraId="7F1DA54B" w14:textId="77777777" w:rsidR="00FA7226" w:rsidRPr="00FA7226" w:rsidRDefault="00FA7226">
          <w:pPr>
            <w:pStyle w:val="Footer"/>
            <w:rPr>
              <w:sz w:val="16"/>
              <w:szCs w:val="16"/>
            </w:rPr>
          </w:pPr>
        </w:p>
      </w:tc>
      <w:tc>
        <w:tcPr>
          <w:tcW w:w="2558" w:type="dxa"/>
          <w:tcBorders>
            <w:bottom w:val="single" w:sz="4" w:space="0" w:color="auto"/>
          </w:tcBorders>
        </w:tcPr>
        <w:p w14:paraId="2F5B25C2" w14:textId="77777777" w:rsidR="00FA7226" w:rsidRPr="00FA7226" w:rsidRDefault="00FA7226">
          <w:pPr>
            <w:pStyle w:val="Footer"/>
            <w:rPr>
              <w:sz w:val="16"/>
              <w:szCs w:val="16"/>
            </w:rPr>
          </w:pPr>
        </w:p>
      </w:tc>
      <w:tc>
        <w:tcPr>
          <w:tcW w:w="2558" w:type="dxa"/>
          <w:tcBorders>
            <w:bottom w:val="single" w:sz="4" w:space="0" w:color="auto"/>
          </w:tcBorders>
        </w:tcPr>
        <w:p w14:paraId="56C45286" w14:textId="77777777" w:rsidR="00FA7226" w:rsidRPr="00FA7226" w:rsidRDefault="00FA7226">
          <w:pPr>
            <w:pStyle w:val="Footer"/>
            <w:rPr>
              <w:sz w:val="16"/>
              <w:szCs w:val="16"/>
            </w:rPr>
          </w:pPr>
        </w:p>
      </w:tc>
      <w:tc>
        <w:tcPr>
          <w:tcW w:w="2558" w:type="dxa"/>
          <w:tcBorders>
            <w:bottom w:val="single" w:sz="4" w:space="0" w:color="auto"/>
          </w:tcBorders>
        </w:tcPr>
        <w:p w14:paraId="449ED0B8" w14:textId="77777777" w:rsidR="00FA7226" w:rsidRPr="00FA7226" w:rsidRDefault="00FA7226">
          <w:pPr>
            <w:pStyle w:val="Footer"/>
            <w:rPr>
              <w:sz w:val="16"/>
              <w:szCs w:val="16"/>
            </w:rPr>
          </w:pPr>
        </w:p>
      </w:tc>
      <w:tc>
        <w:tcPr>
          <w:tcW w:w="2559" w:type="dxa"/>
          <w:tcBorders>
            <w:bottom w:val="single" w:sz="4" w:space="0" w:color="auto"/>
          </w:tcBorders>
        </w:tcPr>
        <w:p w14:paraId="1BBA0E38" w14:textId="77777777" w:rsidR="00FA7226" w:rsidRPr="00FA7226" w:rsidRDefault="00FA7226">
          <w:pPr>
            <w:pStyle w:val="Footer"/>
            <w:rPr>
              <w:sz w:val="16"/>
              <w:szCs w:val="16"/>
            </w:rPr>
          </w:pPr>
        </w:p>
      </w:tc>
    </w:tr>
    <w:tr w:rsidR="00FA7226" w:rsidRPr="00FA7226" w14:paraId="19FA430C" w14:textId="77777777" w:rsidTr="00E014E0">
      <w:tc>
        <w:tcPr>
          <w:tcW w:w="753" w:type="dxa"/>
          <w:tcBorders>
            <w:top w:val="single" w:sz="4" w:space="0" w:color="auto"/>
          </w:tcBorders>
        </w:tcPr>
        <w:p w14:paraId="2856EFB1" w14:textId="77777777" w:rsidR="00FA7226" w:rsidRPr="00FA7226" w:rsidRDefault="00FA7226">
          <w:pPr>
            <w:pStyle w:val="Footer"/>
            <w:rPr>
              <w:sz w:val="16"/>
              <w:szCs w:val="16"/>
            </w:rPr>
          </w:pPr>
          <w:r w:rsidRPr="00FA7226">
            <w:rPr>
              <w:sz w:val="16"/>
              <w:szCs w:val="16"/>
            </w:rPr>
            <w:t>Version:</w:t>
          </w:r>
        </w:p>
      </w:tc>
      <w:tc>
        <w:tcPr>
          <w:tcW w:w="4412" w:type="dxa"/>
          <w:tcBorders>
            <w:top w:val="single" w:sz="4" w:space="0" w:color="auto"/>
          </w:tcBorders>
        </w:tcPr>
        <w:p w14:paraId="2A363278" w14:textId="6579446D" w:rsidR="00FA7226" w:rsidRPr="00FA7226" w:rsidRDefault="00D4604A">
          <w:pPr>
            <w:pStyle w:val="Footer"/>
            <w:rPr>
              <w:sz w:val="16"/>
              <w:szCs w:val="16"/>
            </w:rPr>
          </w:pPr>
          <w:r>
            <w:rPr>
              <w:sz w:val="16"/>
              <w:szCs w:val="16"/>
            </w:rPr>
            <w:t>1</w:t>
          </w:r>
          <w:r w:rsidR="00510B2B">
            <w:rPr>
              <w:sz w:val="16"/>
              <w:szCs w:val="16"/>
            </w:rPr>
            <w:t>.1</w:t>
          </w:r>
        </w:p>
      </w:tc>
      <w:tc>
        <w:tcPr>
          <w:tcW w:w="2558" w:type="dxa"/>
          <w:tcBorders>
            <w:top w:val="single" w:sz="4" w:space="0" w:color="auto"/>
          </w:tcBorders>
        </w:tcPr>
        <w:p w14:paraId="7C3ADEE9" w14:textId="77777777" w:rsidR="00FA7226" w:rsidRPr="00FA7226" w:rsidRDefault="00FA7226">
          <w:pPr>
            <w:pStyle w:val="Footer"/>
            <w:rPr>
              <w:sz w:val="16"/>
              <w:szCs w:val="16"/>
            </w:rPr>
          </w:pPr>
        </w:p>
      </w:tc>
      <w:tc>
        <w:tcPr>
          <w:tcW w:w="2558" w:type="dxa"/>
          <w:tcBorders>
            <w:top w:val="single" w:sz="4" w:space="0" w:color="auto"/>
          </w:tcBorders>
        </w:tcPr>
        <w:p w14:paraId="79868F1F" w14:textId="77777777" w:rsidR="00FA7226" w:rsidRPr="00FA7226" w:rsidRDefault="00FA7226">
          <w:pPr>
            <w:pStyle w:val="Footer"/>
            <w:rPr>
              <w:sz w:val="16"/>
              <w:szCs w:val="16"/>
            </w:rPr>
          </w:pPr>
        </w:p>
      </w:tc>
      <w:tc>
        <w:tcPr>
          <w:tcW w:w="2558" w:type="dxa"/>
          <w:tcBorders>
            <w:top w:val="single" w:sz="4" w:space="0" w:color="auto"/>
          </w:tcBorders>
        </w:tcPr>
        <w:p w14:paraId="3A2D897B" w14:textId="77777777" w:rsidR="00FA7226" w:rsidRPr="00FA7226" w:rsidRDefault="00FA7226">
          <w:pPr>
            <w:pStyle w:val="Footer"/>
            <w:rPr>
              <w:sz w:val="16"/>
              <w:szCs w:val="16"/>
            </w:rPr>
          </w:pPr>
        </w:p>
      </w:tc>
      <w:tc>
        <w:tcPr>
          <w:tcW w:w="2559" w:type="dxa"/>
          <w:tcBorders>
            <w:top w:val="single" w:sz="4" w:space="0" w:color="auto"/>
          </w:tcBorders>
        </w:tcPr>
        <w:p w14:paraId="7FFFF8D7" w14:textId="77777777" w:rsidR="00FA7226" w:rsidRPr="00FA7226" w:rsidRDefault="00FA7226" w:rsidP="00FA7226">
          <w:pPr>
            <w:pStyle w:val="Footer"/>
            <w:jc w:val="right"/>
            <w:rPr>
              <w:sz w:val="16"/>
              <w:szCs w:val="16"/>
            </w:rPr>
          </w:pPr>
          <w:r w:rsidRPr="00FA7226">
            <w:rPr>
              <w:sz w:val="16"/>
              <w:szCs w:val="16"/>
            </w:rPr>
            <w:t xml:space="preserve">Page </w:t>
          </w:r>
          <w:r w:rsidRPr="00FA7226">
            <w:rPr>
              <w:b/>
              <w:bCs/>
              <w:sz w:val="16"/>
              <w:szCs w:val="16"/>
            </w:rPr>
            <w:fldChar w:fldCharType="begin"/>
          </w:r>
          <w:r w:rsidRPr="00FA7226">
            <w:rPr>
              <w:b/>
              <w:bCs/>
              <w:sz w:val="16"/>
              <w:szCs w:val="16"/>
            </w:rPr>
            <w:instrText xml:space="preserve"> PAGE  \* Arabic  \* MERGEFORMAT </w:instrText>
          </w:r>
          <w:r w:rsidRPr="00FA7226">
            <w:rPr>
              <w:b/>
              <w:bCs/>
              <w:sz w:val="16"/>
              <w:szCs w:val="16"/>
            </w:rPr>
            <w:fldChar w:fldCharType="separate"/>
          </w:r>
          <w:r w:rsidR="00D4604A">
            <w:rPr>
              <w:b/>
              <w:bCs/>
              <w:noProof/>
              <w:sz w:val="16"/>
              <w:szCs w:val="16"/>
            </w:rPr>
            <w:t>1</w:t>
          </w:r>
          <w:r w:rsidRPr="00FA7226">
            <w:rPr>
              <w:b/>
              <w:bCs/>
              <w:sz w:val="16"/>
              <w:szCs w:val="16"/>
            </w:rPr>
            <w:fldChar w:fldCharType="end"/>
          </w:r>
          <w:r w:rsidRPr="00FA7226">
            <w:rPr>
              <w:sz w:val="16"/>
              <w:szCs w:val="16"/>
            </w:rPr>
            <w:t xml:space="preserve"> of </w:t>
          </w:r>
          <w:r w:rsidRPr="00FA7226">
            <w:rPr>
              <w:b/>
              <w:bCs/>
              <w:sz w:val="16"/>
              <w:szCs w:val="16"/>
            </w:rPr>
            <w:fldChar w:fldCharType="begin"/>
          </w:r>
          <w:r w:rsidRPr="00FA7226">
            <w:rPr>
              <w:b/>
              <w:bCs/>
              <w:sz w:val="16"/>
              <w:szCs w:val="16"/>
            </w:rPr>
            <w:instrText xml:space="preserve"> NUMPAGES  \* Arabic  \* MERGEFORMAT </w:instrText>
          </w:r>
          <w:r w:rsidRPr="00FA7226">
            <w:rPr>
              <w:b/>
              <w:bCs/>
              <w:sz w:val="16"/>
              <w:szCs w:val="16"/>
            </w:rPr>
            <w:fldChar w:fldCharType="separate"/>
          </w:r>
          <w:r w:rsidR="00D4604A">
            <w:rPr>
              <w:b/>
              <w:bCs/>
              <w:noProof/>
              <w:sz w:val="16"/>
              <w:szCs w:val="16"/>
            </w:rPr>
            <w:t>1</w:t>
          </w:r>
          <w:r w:rsidRPr="00FA7226">
            <w:rPr>
              <w:b/>
              <w:bCs/>
              <w:sz w:val="16"/>
              <w:szCs w:val="16"/>
            </w:rPr>
            <w:fldChar w:fldCharType="end"/>
          </w:r>
        </w:p>
      </w:tc>
    </w:tr>
    <w:tr w:rsidR="00FA7226" w:rsidRPr="00FA7226" w14:paraId="191415CF" w14:textId="77777777" w:rsidTr="00E014E0">
      <w:tc>
        <w:tcPr>
          <w:tcW w:w="753" w:type="dxa"/>
        </w:tcPr>
        <w:p w14:paraId="30EAEF6A" w14:textId="77777777" w:rsidR="00FA7226" w:rsidRPr="00FA7226" w:rsidRDefault="00FA7226">
          <w:pPr>
            <w:pStyle w:val="Footer"/>
            <w:rPr>
              <w:sz w:val="16"/>
              <w:szCs w:val="16"/>
            </w:rPr>
          </w:pPr>
          <w:r w:rsidRPr="00FA7226">
            <w:rPr>
              <w:sz w:val="16"/>
              <w:szCs w:val="16"/>
            </w:rPr>
            <w:t>Date:</w:t>
          </w:r>
        </w:p>
      </w:tc>
      <w:tc>
        <w:tcPr>
          <w:tcW w:w="4412" w:type="dxa"/>
        </w:tcPr>
        <w:p w14:paraId="3FEF76FF" w14:textId="71DBB3FC" w:rsidR="00FA7226" w:rsidRPr="00FA7226" w:rsidRDefault="00510B2B">
          <w:pPr>
            <w:pStyle w:val="Footer"/>
            <w:rPr>
              <w:sz w:val="16"/>
              <w:szCs w:val="16"/>
            </w:rPr>
          </w:pPr>
          <w:r>
            <w:rPr>
              <w:sz w:val="16"/>
              <w:szCs w:val="16"/>
            </w:rPr>
            <w:t>22 May</w:t>
          </w:r>
          <w:r w:rsidR="00BA16E5">
            <w:rPr>
              <w:sz w:val="16"/>
              <w:szCs w:val="16"/>
            </w:rPr>
            <w:t xml:space="preserve"> </w:t>
          </w:r>
          <w:r w:rsidR="006231A4">
            <w:rPr>
              <w:sz w:val="16"/>
              <w:szCs w:val="16"/>
            </w:rPr>
            <w:t>2019</w:t>
          </w:r>
        </w:p>
      </w:tc>
      <w:tc>
        <w:tcPr>
          <w:tcW w:w="2558" w:type="dxa"/>
        </w:tcPr>
        <w:p w14:paraId="60B4E508" w14:textId="77777777" w:rsidR="00FA7226" w:rsidRPr="00FA7226" w:rsidRDefault="00FA7226">
          <w:pPr>
            <w:pStyle w:val="Footer"/>
            <w:rPr>
              <w:sz w:val="16"/>
              <w:szCs w:val="16"/>
            </w:rPr>
          </w:pPr>
        </w:p>
      </w:tc>
      <w:tc>
        <w:tcPr>
          <w:tcW w:w="2558" w:type="dxa"/>
        </w:tcPr>
        <w:p w14:paraId="16C3604A" w14:textId="77777777" w:rsidR="00FA7226" w:rsidRPr="00FA7226" w:rsidRDefault="00FA7226">
          <w:pPr>
            <w:pStyle w:val="Footer"/>
            <w:rPr>
              <w:sz w:val="16"/>
              <w:szCs w:val="16"/>
            </w:rPr>
          </w:pPr>
        </w:p>
      </w:tc>
      <w:tc>
        <w:tcPr>
          <w:tcW w:w="2558" w:type="dxa"/>
        </w:tcPr>
        <w:p w14:paraId="6051BE70" w14:textId="77777777" w:rsidR="00FA7226" w:rsidRPr="00FA7226" w:rsidRDefault="00FA7226">
          <w:pPr>
            <w:pStyle w:val="Footer"/>
            <w:rPr>
              <w:sz w:val="16"/>
              <w:szCs w:val="16"/>
            </w:rPr>
          </w:pPr>
        </w:p>
      </w:tc>
      <w:tc>
        <w:tcPr>
          <w:tcW w:w="2559" w:type="dxa"/>
        </w:tcPr>
        <w:p w14:paraId="3B03BA6F" w14:textId="77777777" w:rsidR="00FA7226" w:rsidRPr="00FA7226" w:rsidRDefault="00FA7226">
          <w:pPr>
            <w:pStyle w:val="Footer"/>
            <w:rPr>
              <w:sz w:val="16"/>
              <w:szCs w:val="16"/>
            </w:rPr>
          </w:pPr>
        </w:p>
      </w:tc>
    </w:tr>
  </w:tbl>
  <w:p w14:paraId="329565BD" w14:textId="77777777" w:rsidR="00FA7226" w:rsidRDefault="00FA7226" w:rsidP="00714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6E92" w14:textId="77777777" w:rsidR="00604B50" w:rsidRDefault="0060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FCBF" w14:textId="77777777" w:rsidR="00ED7268" w:rsidRDefault="00ED7268" w:rsidP="00FA7226">
      <w:r>
        <w:separator/>
      </w:r>
    </w:p>
  </w:footnote>
  <w:footnote w:type="continuationSeparator" w:id="0">
    <w:p w14:paraId="1FB050A4" w14:textId="77777777" w:rsidR="00ED7268" w:rsidRDefault="00ED7268" w:rsidP="00FA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D4E2" w14:textId="77777777" w:rsidR="00604B50" w:rsidRDefault="00604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3039"/>
      <w:gridCol w:w="2995"/>
    </w:tblGrid>
    <w:tr w:rsidR="00FA7226" w:rsidRPr="00A76A32" w14:paraId="29C7ECC4" w14:textId="77777777" w:rsidTr="006231A4">
      <w:trPr>
        <w:trHeight w:val="709"/>
      </w:trPr>
      <w:tc>
        <w:tcPr>
          <w:tcW w:w="1666" w:type="pct"/>
        </w:tcPr>
        <w:p w14:paraId="7EB72D36" w14:textId="77777777" w:rsidR="00FA7226" w:rsidRPr="00A76A32" w:rsidRDefault="00FA7226" w:rsidP="00A76A32">
          <w:pPr>
            <w:pStyle w:val="Header"/>
            <w:jc w:val="right"/>
            <w:rPr>
              <w:sz w:val="28"/>
            </w:rPr>
          </w:pPr>
        </w:p>
      </w:tc>
      <w:tc>
        <w:tcPr>
          <w:tcW w:w="1667" w:type="pct"/>
        </w:tcPr>
        <w:p w14:paraId="40533540" w14:textId="77777777" w:rsidR="000520AE" w:rsidRDefault="006231A4" w:rsidP="00A76A32">
          <w:pPr>
            <w:pStyle w:val="Header"/>
            <w:jc w:val="center"/>
            <w:rPr>
              <w:b/>
              <w:sz w:val="28"/>
            </w:rPr>
          </w:pPr>
          <w:r>
            <w:rPr>
              <w:b/>
              <w:noProof/>
              <w:sz w:val="28"/>
            </w:rPr>
            <w:drawing>
              <wp:inline distT="0" distB="0" distL="0" distR="0" wp14:anchorId="2789C4E4" wp14:editId="5654237D">
                <wp:extent cx="1793063"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AC Logo_new_CMYK (002).gif"/>
                        <pic:cNvPicPr/>
                      </pic:nvPicPr>
                      <pic:blipFill>
                        <a:blip r:embed="rId1">
                          <a:extLst>
                            <a:ext uri="{28A0092B-C50C-407E-A947-70E740481C1C}">
                              <a14:useLocalDpi xmlns:a14="http://schemas.microsoft.com/office/drawing/2010/main" val="0"/>
                            </a:ext>
                          </a:extLst>
                        </a:blip>
                        <a:stretch>
                          <a:fillRect/>
                        </a:stretch>
                      </pic:blipFill>
                      <pic:spPr>
                        <a:xfrm>
                          <a:off x="0" y="0"/>
                          <a:ext cx="1812166" cy="731612"/>
                        </a:xfrm>
                        <a:prstGeom prst="rect">
                          <a:avLst/>
                        </a:prstGeom>
                      </pic:spPr>
                    </pic:pic>
                  </a:graphicData>
                </a:graphic>
              </wp:inline>
            </w:drawing>
          </w:r>
        </w:p>
        <w:p w14:paraId="5CECA0D5" w14:textId="1195F135" w:rsidR="004D4F4E" w:rsidRPr="004D4F4E" w:rsidRDefault="004D4F4E" w:rsidP="00A76A32">
          <w:pPr>
            <w:pStyle w:val="Header"/>
            <w:jc w:val="center"/>
            <w:rPr>
              <w:b/>
              <w:sz w:val="16"/>
              <w:szCs w:val="16"/>
            </w:rPr>
          </w:pPr>
        </w:p>
      </w:tc>
      <w:tc>
        <w:tcPr>
          <w:tcW w:w="1667" w:type="pct"/>
        </w:tcPr>
        <w:p w14:paraId="7CE2F46D" w14:textId="0E5D9377" w:rsidR="00FA7226" w:rsidRPr="00A76A32" w:rsidRDefault="00F12130" w:rsidP="00A76A32">
          <w:pPr>
            <w:pStyle w:val="Header"/>
            <w:jc w:val="right"/>
            <w:rPr>
              <w:b/>
              <w:sz w:val="28"/>
            </w:rPr>
          </w:pPr>
          <w:r>
            <w:rPr>
              <w:b/>
              <w:sz w:val="28"/>
            </w:rPr>
            <w:t>A</w:t>
          </w:r>
          <w:r w:rsidR="00EE35E4" w:rsidRPr="00A76A32">
            <w:rPr>
              <w:b/>
              <w:sz w:val="28"/>
            </w:rPr>
            <w:t>PAC-</w:t>
          </w:r>
          <w:r w:rsidR="00BA16E5">
            <w:rPr>
              <w:b/>
              <w:sz w:val="28"/>
            </w:rPr>
            <w:t>MRA</w:t>
          </w:r>
          <w:r w:rsidR="00EE35E4" w:rsidRPr="00A76A32">
            <w:rPr>
              <w:b/>
              <w:sz w:val="28"/>
            </w:rPr>
            <w:t>-</w:t>
          </w:r>
          <w:r w:rsidR="006231A4">
            <w:rPr>
              <w:b/>
              <w:sz w:val="28"/>
            </w:rPr>
            <w:t>1901</w:t>
          </w:r>
          <w:r w:rsidR="00EE35E4" w:rsidRPr="00A76A32">
            <w:rPr>
              <w:b/>
              <w:sz w:val="28"/>
            </w:rPr>
            <w:t>-</w:t>
          </w:r>
          <w:r w:rsidR="00604B50">
            <w:rPr>
              <w:b/>
              <w:sz w:val="28"/>
            </w:rPr>
            <w:t>8</w:t>
          </w:r>
          <w:r w:rsidR="00510B2B">
            <w:rPr>
              <w:b/>
              <w:sz w:val="28"/>
            </w:rPr>
            <w:t>.</w:t>
          </w:r>
          <w:r w:rsidR="007A4246">
            <w:rPr>
              <w:b/>
              <w:sz w:val="28"/>
            </w:rPr>
            <w:t>3</w:t>
          </w:r>
        </w:p>
      </w:tc>
    </w:tr>
  </w:tbl>
  <w:p w14:paraId="75D2D5B8" w14:textId="77777777" w:rsidR="00FA7226" w:rsidRDefault="00FA7226" w:rsidP="00052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A59D" w14:textId="77777777" w:rsidR="00604B50" w:rsidRDefault="0060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150B"/>
    <w:multiLevelType w:val="hybridMultilevel"/>
    <w:tmpl w:val="D632F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C01530"/>
    <w:multiLevelType w:val="hybridMultilevel"/>
    <w:tmpl w:val="10525ABE"/>
    <w:lvl w:ilvl="0" w:tplc="6A98C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692638"/>
    <w:multiLevelType w:val="hybridMultilevel"/>
    <w:tmpl w:val="18B40B6A"/>
    <w:lvl w:ilvl="0" w:tplc="6A98C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F56665"/>
    <w:multiLevelType w:val="hybridMultilevel"/>
    <w:tmpl w:val="FA762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825B4"/>
    <w:multiLevelType w:val="hybridMultilevel"/>
    <w:tmpl w:val="736EC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6F1968"/>
    <w:multiLevelType w:val="hybridMultilevel"/>
    <w:tmpl w:val="E716C9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26"/>
    <w:rsid w:val="00002E6C"/>
    <w:rsid w:val="00036699"/>
    <w:rsid w:val="00046931"/>
    <w:rsid w:val="000520AE"/>
    <w:rsid w:val="00060FA1"/>
    <w:rsid w:val="00064A27"/>
    <w:rsid w:val="00090AF3"/>
    <w:rsid w:val="000A2996"/>
    <w:rsid w:val="000B3897"/>
    <w:rsid w:val="00100478"/>
    <w:rsid w:val="001147E1"/>
    <w:rsid w:val="001D7D1B"/>
    <w:rsid w:val="001E20CF"/>
    <w:rsid w:val="002014D4"/>
    <w:rsid w:val="00220842"/>
    <w:rsid w:val="00232EDF"/>
    <w:rsid w:val="002748F3"/>
    <w:rsid w:val="002B6DFC"/>
    <w:rsid w:val="003102A7"/>
    <w:rsid w:val="003110F4"/>
    <w:rsid w:val="00382FFE"/>
    <w:rsid w:val="003B3714"/>
    <w:rsid w:val="003D23D5"/>
    <w:rsid w:val="00407AD2"/>
    <w:rsid w:val="00410C1A"/>
    <w:rsid w:val="00413D58"/>
    <w:rsid w:val="004452A7"/>
    <w:rsid w:val="0049621E"/>
    <w:rsid w:val="004B3E03"/>
    <w:rsid w:val="004D4F4E"/>
    <w:rsid w:val="004D5CE2"/>
    <w:rsid w:val="004D6948"/>
    <w:rsid w:val="00502C76"/>
    <w:rsid w:val="00510B2B"/>
    <w:rsid w:val="00515633"/>
    <w:rsid w:val="00535189"/>
    <w:rsid w:val="005E26D5"/>
    <w:rsid w:val="005E7F98"/>
    <w:rsid w:val="00604B50"/>
    <w:rsid w:val="006112AA"/>
    <w:rsid w:val="006231A4"/>
    <w:rsid w:val="0066652F"/>
    <w:rsid w:val="00691063"/>
    <w:rsid w:val="006A4C79"/>
    <w:rsid w:val="006D5724"/>
    <w:rsid w:val="00714C84"/>
    <w:rsid w:val="007348CF"/>
    <w:rsid w:val="007A4246"/>
    <w:rsid w:val="007B1166"/>
    <w:rsid w:val="007F0B3A"/>
    <w:rsid w:val="007F45FB"/>
    <w:rsid w:val="007F62C0"/>
    <w:rsid w:val="00803BF5"/>
    <w:rsid w:val="009363FA"/>
    <w:rsid w:val="00936D24"/>
    <w:rsid w:val="0094025C"/>
    <w:rsid w:val="00952E73"/>
    <w:rsid w:val="009548E9"/>
    <w:rsid w:val="00960376"/>
    <w:rsid w:val="00973DF1"/>
    <w:rsid w:val="0097610F"/>
    <w:rsid w:val="00990828"/>
    <w:rsid w:val="00992F4D"/>
    <w:rsid w:val="009A5FED"/>
    <w:rsid w:val="009A6478"/>
    <w:rsid w:val="009F26DB"/>
    <w:rsid w:val="00A0432C"/>
    <w:rsid w:val="00A04C31"/>
    <w:rsid w:val="00A1510C"/>
    <w:rsid w:val="00A22F2C"/>
    <w:rsid w:val="00A306F0"/>
    <w:rsid w:val="00A403F2"/>
    <w:rsid w:val="00A61FC4"/>
    <w:rsid w:val="00A656C6"/>
    <w:rsid w:val="00A76A32"/>
    <w:rsid w:val="00AA39AA"/>
    <w:rsid w:val="00AD088D"/>
    <w:rsid w:val="00B01548"/>
    <w:rsid w:val="00B215D3"/>
    <w:rsid w:val="00B27F68"/>
    <w:rsid w:val="00B60FCC"/>
    <w:rsid w:val="00BA16E5"/>
    <w:rsid w:val="00BB78AE"/>
    <w:rsid w:val="00BE00DC"/>
    <w:rsid w:val="00C5223B"/>
    <w:rsid w:val="00C8447E"/>
    <w:rsid w:val="00C94D42"/>
    <w:rsid w:val="00CB375B"/>
    <w:rsid w:val="00CB3B8C"/>
    <w:rsid w:val="00D1068F"/>
    <w:rsid w:val="00D4604A"/>
    <w:rsid w:val="00DC1607"/>
    <w:rsid w:val="00DE44C2"/>
    <w:rsid w:val="00E014E0"/>
    <w:rsid w:val="00E039BB"/>
    <w:rsid w:val="00E7204A"/>
    <w:rsid w:val="00E916C2"/>
    <w:rsid w:val="00EB06C2"/>
    <w:rsid w:val="00EC79ED"/>
    <w:rsid w:val="00ED7268"/>
    <w:rsid w:val="00EE35E4"/>
    <w:rsid w:val="00F12130"/>
    <w:rsid w:val="00F544EF"/>
    <w:rsid w:val="00F9653D"/>
    <w:rsid w:val="00FA7226"/>
    <w:rsid w:val="00FE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03EF"/>
  <w15:docId w15:val="{74D6E777-4534-4C52-8394-E6B4B11A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ED"/>
    <w:pPr>
      <w:jc w:val="both"/>
    </w:pPr>
  </w:style>
  <w:style w:type="paragraph" w:styleId="Heading1">
    <w:name w:val="heading 1"/>
    <w:basedOn w:val="Normal"/>
    <w:next w:val="Normal"/>
    <w:link w:val="Heading1Char"/>
    <w:uiPriority w:val="9"/>
    <w:qFormat/>
    <w:rsid w:val="009A5FED"/>
    <w:pPr>
      <w:outlineLvl w:val="0"/>
    </w:pPr>
    <w:rPr>
      <w:b/>
      <w:caps/>
      <w:sz w:val="32"/>
      <w:szCs w:val="36"/>
    </w:rPr>
  </w:style>
  <w:style w:type="paragraph" w:styleId="Heading2">
    <w:name w:val="heading 2"/>
    <w:basedOn w:val="Normal"/>
    <w:next w:val="Normal"/>
    <w:link w:val="Heading2Char"/>
    <w:uiPriority w:val="9"/>
    <w:unhideWhenUsed/>
    <w:qFormat/>
    <w:rsid w:val="009A5FED"/>
    <w:pPr>
      <w:outlineLvl w:val="1"/>
    </w:pPr>
    <w:rPr>
      <w:b/>
      <w:sz w:val="32"/>
      <w:szCs w:val="32"/>
    </w:rPr>
  </w:style>
  <w:style w:type="paragraph" w:styleId="Heading3">
    <w:name w:val="heading 3"/>
    <w:basedOn w:val="Normal"/>
    <w:next w:val="Normal"/>
    <w:link w:val="Heading3Char"/>
    <w:uiPriority w:val="9"/>
    <w:unhideWhenUsed/>
    <w:qFormat/>
    <w:rsid w:val="009A5FED"/>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26"/>
    <w:pPr>
      <w:tabs>
        <w:tab w:val="center" w:pos="4513"/>
        <w:tab w:val="right" w:pos="9026"/>
      </w:tabs>
    </w:pPr>
  </w:style>
  <w:style w:type="character" w:customStyle="1" w:styleId="HeaderChar">
    <w:name w:val="Header Char"/>
    <w:basedOn w:val="DefaultParagraphFont"/>
    <w:link w:val="Header"/>
    <w:uiPriority w:val="99"/>
    <w:rsid w:val="00FA7226"/>
  </w:style>
  <w:style w:type="paragraph" w:styleId="Footer">
    <w:name w:val="footer"/>
    <w:basedOn w:val="Normal"/>
    <w:link w:val="FooterChar"/>
    <w:uiPriority w:val="99"/>
    <w:unhideWhenUsed/>
    <w:rsid w:val="00FA7226"/>
    <w:pPr>
      <w:tabs>
        <w:tab w:val="center" w:pos="4513"/>
        <w:tab w:val="right" w:pos="9026"/>
      </w:tabs>
    </w:pPr>
  </w:style>
  <w:style w:type="character" w:customStyle="1" w:styleId="FooterChar">
    <w:name w:val="Footer Char"/>
    <w:basedOn w:val="DefaultParagraphFont"/>
    <w:link w:val="Footer"/>
    <w:uiPriority w:val="99"/>
    <w:rsid w:val="00FA7226"/>
  </w:style>
  <w:style w:type="table" w:styleId="TableGrid">
    <w:name w:val="Table Grid"/>
    <w:basedOn w:val="TableNormal"/>
    <w:uiPriority w:val="39"/>
    <w:rsid w:val="00FA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6DFC"/>
    <w:rPr>
      <w:sz w:val="20"/>
      <w:szCs w:val="20"/>
    </w:rPr>
  </w:style>
  <w:style w:type="character" w:customStyle="1" w:styleId="FootnoteTextChar">
    <w:name w:val="Footnote Text Char"/>
    <w:basedOn w:val="DefaultParagraphFont"/>
    <w:link w:val="FootnoteText"/>
    <w:uiPriority w:val="99"/>
    <w:semiHidden/>
    <w:rsid w:val="002B6DFC"/>
    <w:rPr>
      <w:sz w:val="20"/>
      <w:szCs w:val="20"/>
    </w:rPr>
  </w:style>
  <w:style w:type="character" w:styleId="FootnoteReference">
    <w:name w:val="footnote reference"/>
    <w:basedOn w:val="DefaultParagraphFont"/>
    <w:uiPriority w:val="99"/>
    <w:semiHidden/>
    <w:unhideWhenUsed/>
    <w:rsid w:val="002B6DFC"/>
    <w:rPr>
      <w:vertAlign w:val="superscript"/>
    </w:rPr>
  </w:style>
  <w:style w:type="paragraph" w:styleId="BalloonText">
    <w:name w:val="Balloon Text"/>
    <w:basedOn w:val="Normal"/>
    <w:link w:val="BalloonTextChar"/>
    <w:uiPriority w:val="99"/>
    <w:semiHidden/>
    <w:unhideWhenUsed/>
    <w:rsid w:val="00DE44C2"/>
    <w:rPr>
      <w:rFonts w:ascii="Tahoma" w:hAnsi="Tahoma" w:cs="Tahoma"/>
      <w:sz w:val="16"/>
      <w:szCs w:val="16"/>
    </w:rPr>
  </w:style>
  <w:style w:type="character" w:customStyle="1" w:styleId="BalloonTextChar">
    <w:name w:val="Balloon Text Char"/>
    <w:basedOn w:val="DefaultParagraphFont"/>
    <w:link w:val="BalloonText"/>
    <w:uiPriority w:val="99"/>
    <w:semiHidden/>
    <w:rsid w:val="00DE44C2"/>
    <w:rPr>
      <w:rFonts w:ascii="Tahoma" w:hAnsi="Tahoma" w:cs="Tahoma"/>
      <w:sz w:val="16"/>
      <w:szCs w:val="16"/>
    </w:rPr>
  </w:style>
  <w:style w:type="paragraph" w:styleId="ListParagraph">
    <w:name w:val="List Paragraph"/>
    <w:basedOn w:val="Normal"/>
    <w:uiPriority w:val="34"/>
    <w:qFormat/>
    <w:rsid w:val="007F62C0"/>
    <w:pPr>
      <w:ind w:left="720"/>
      <w:contextualSpacing/>
    </w:pPr>
  </w:style>
  <w:style w:type="character" w:customStyle="1" w:styleId="Heading1Char">
    <w:name w:val="Heading 1 Char"/>
    <w:basedOn w:val="DefaultParagraphFont"/>
    <w:link w:val="Heading1"/>
    <w:uiPriority w:val="9"/>
    <w:rsid w:val="009A5FED"/>
    <w:rPr>
      <w:b/>
      <w:caps/>
      <w:sz w:val="32"/>
      <w:szCs w:val="36"/>
    </w:rPr>
  </w:style>
  <w:style w:type="character" w:customStyle="1" w:styleId="Heading2Char">
    <w:name w:val="Heading 2 Char"/>
    <w:basedOn w:val="DefaultParagraphFont"/>
    <w:link w:val="Heading2"/>
    <w:uiPriority w:val="9"/>
    <w:rsid w:val="009A5FED"/>
    <w:rPr>
      <w:b/>
      <w:sz w:val="32"/>
      <w:szCs w:val="32"/>
    </w:rPr>
  </w:style>
  <w:style w:type="character" w:customStyle="1" w:styleId="Heading3Char">
    <w:name w:val="Heading 3 Char"/>
    <w:basedOn w:val="DefaultParagraphFont"/>
    <w:link w:val="Heading3"/>
    <w:uiPriority w:val="9"/>
    <w:rsid w:val="009A5FED"/>
    <w:rPr>
      <w:b/>
      <w:sz w:val="28"/>
      <w:szCs w:val="28"/>
    </w:rPr>
  </w:style>
  <w:style w:type="character" w:styleId="Hyperlink">
    <w:name w:val="Hyperlink"/>
    <w:basedOn w:val="DefaultParagraphFont"/>
    <w:uiPriority w:val="99"/>
    <w:unhideWhenUsed/>
    <w:rsid w:val="00064A27"/>
    <w:rPr>
      <w:color w:val="0563C1" w:themeColor="hyperlink"/>
      <w:u w:val="single"/>
    </w:rPr>
  </w:style>
  <w:style w:type="character" w:styleId="UnresolvedMention">
    <w:name w:val="Unresolved Mention"/>
    <w:basedOn w:val="DefaultParagraphFont"/>
    <w:uiPriority w:val="99"/>
    <w:semiHidden/>
    <w:unhideWhenUsed/>
    <w:rsid w:val="00064A27"/>
    <w:rPr>
      <w:color w:val="605E5C"/>
      <w:shd w:val="clear" w:color="auto" w:fill="E1DFDD"/>
    </w:rPr>
  </w:style>
  <w:style w:type="table" w:styleId="PlainTable1">
    <w:name w:val="Plain Table 1"/>
    <w:basedOn w:val="TableNormal"/>
    <w:uiPriority w:val="41"/>
    <w:rsid w:val="004B3E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c.org/?ddownload=1213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D4EC-2899-4A8F-A89D-9107E7DC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dc:creator>
  <cp:lastModifiedBy>Graeme Drake</cp:lastModifiedBy>
  <cp:revision>15</cp:revision>
  <dcterms:created xsi:type="dcterms:W3CDTF">2019-05-21T23:29:00Z</dcterms:created>
  <dcterms:modified xsi:type="dcterms:W3CDTF">2019-05-22T09:34:00Z</dcterms:modified>
</cp:coreProperties>
</file>